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E9" w:rsidRDefault="00A270E9" w:rsidP="00A270E9">
      <w:pPr>
        <w:widowControl w:val="0"/>
        <w:autoSpaceDE w:val="0"/>
        <w:autoSpaceDN w:val="0"/>
        <w:adjustRightInd w:val="0"/>
      </w:pPr>
      <w:r>
        <w:t>Broj</w:t>
      </w:r>
      <w:r w:rsidRPr="00764A9A">
        <w:t>:</w:t>
      </w:r>
      <w:r>
        <w:t xml:space="preserve"> </w:t>
      </w:r>
      <w:r w:rsidR="00DE5B29">
        <w:t>9</w:t>
      </w:r>
      <w:r w:rsidR="005531CC">
        <w:t>0-1</w:t>
      </w:r>
      <w:r w:rsidR="00CB44DA">
        <w:t>/2022</w:t>
      </w:r>
    </w:p>
    <w:p w:rsidR="00A270E9" w:rsidRPr="00764A9A" w:rsidRDefault="003A4422" w:rsidP="00A270E9">
      <w:pPr>
        <w:widowControl w:val="0"/>
        <w:autoSpaceDE w:val="0"/>
        <w:autoSpaceDN w:val="0"/>
        <w:adjustRightInd w:val="0"/>
      </w:pPr>
      <w:r>
        <w:t>Pitomača:</w:t>
      </w:r>
      <w:r w:rsidR="00A270E9" w:rsidRPr="00764A9A">
        <w:t xml:space="preserve"> </w:t>
      </w:r>
      <w:r w:rsidR="00A270E9">
        <w:t>2</w:t>
      </w:r>
      <w:r w:rsidR="005531CC">
        <w:t>0</w:t>
      </w:r>
      <w:r>
        <w:t>.06.</w:t>
      </w:r>
      <w:r w:rsidR="00A270E9">
        <w:t>2022</w:t>
      </w:r>
      <w:r>
        <w:t>.</w:t>
      </w:r>
    </w:p>
    <w:p w:rsidR="00A270E9" w:rsidRDefault="00A270E9" w:rsidP="00A270E9">
      <w:pPr>
        <w:widowControl w:val="0"/>
        <w:autoSpaceDN w:val="0"/>
        <w:adjustRightInd w:val="0"/>
        <w:jc w:val="center"/>
        <w:rPr>
          <w:b/>
        </w:rPr>
      </w:pPr>
    </w:p>
    <w:p w:rsidR="00A270E9" w:rsidRDefault="00A270E9" w:rsidP="00A270E9">
      <w:pPr>
        <w:widowControl w:val="0"/>
        <w:autoSpaceDN w:val="0"/>
        <w:adjustRightInd w:val="0"/>
        <w:jc w:val="center"/>
        <w:rPr>
          <w:b/>
        </w:rPr>
      </w:pPr>
    </w:p>
    <w:p w:rsidR="00A270E9" w:rsidRPr="00D254E5" w:rsidRDefault="00A270E9" w:rsidP="00A270E9">
      <w:pPr>
        <w:widowControl w:val="0"/>
        <w:autoSpaceDN w:val="0"/>
        <w:adjustRightInd w:val="0"/>
        <w:jc w:val="center"/>
        <w:rPr>
          <w:b/>
          <w:sz w:val="22"/>
          <w:szCs w:val="22"/>
        </w:rPr>
      </w:pPr>
    </w:p>
    <w:p w:rsidR="00A270E9" w:rsidRPr="002D3231" w:rsidRDefault="00A270E9" w:rsidP="00A270E9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2D3231">
        <w:rPr>
          <w:b/>
          <w:sz w:val="28"/>
          <w:szCs w:val="28"/>
        </w:rPr>
        <w:t>POZIV NA DOSTAVU PONUDE</w:t>
      </w:r>
    </w:p>
    <w:p w:rsidR="00A270E9" w:rsidRPr="00D254E5" w:rsidRDefault="00A270E9" w:rsidP="00A270E9">
      <w:pPr>
        <w:widowControl w:val="0"/>
        <w:autoSpaceDN w:val="0"/>
        <w:adjustRightInd w:val="0"/>
        <w:jc w:val="center"/>
        <w:rPr>
          <w:b/>
          <w:sz w:val="22"/>
          <w:szCs w:val="22"/>
        </w:rPr>
      </w:pPr>
    </w:p>
    <w:p w:rsidR="00A270E9" w:rsidRPr="00D254E5" w:rsidRDefault="00A270E9" w:rsidP="00A270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4E5">
        <w:rPr>
          <w:rFonts w:ascii="Arial" w:hAnsi="Arial" w:cs="Arial"/>
          <w:sz w:val="22"/>
          <w:szCs w:val="22"/>
        </w:rPr>
        <w:t>Naručitelj</w:t>
      </w:r>
      <w:r w:rsidR="00591CF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254E5">
        <w:rPr>
          <w:rFonts w:ascii="Arial" w:hAnsi="Arial" w:cs="Arial"/>
          <w:sz w:val="22"/>
          <w:szCs w:val="22"/>
        </w:rPr>
        <w:t>Plin</w:t>
      </w:r>
      <w:r w:rsidR="00591CF1">
        <w:rPr>
          <w:rFonts w:ascii="Arial" w:hAnsi="Arial" w:cs="Arial"/>
          <w:sz w:val="22"/>
          <w:szCs w:val="22"/>
        </w:rPr>
        <w:t>kom</w:t>
      </w:r>
      <w:proofErr w:type="spellEnd"/>
      <w:r w:rsidR="00591CF1">
        <w:rPr>
          <w:rFonts w:ascii="Arial" w:hAnsi="Arial" w:cs="Arial"/>
          <w:sz w:val="22"/>
          <w:szCs w:val="22"/>
        </w:rPr>
        <w:t xml:space="preserve"> </w:t>
      </w:r>
      <w:r w:rsidRPr="00D254E5">
        <w:rPr>
          <w:rFonts w:ascii="Arial" w:hAnsi="Arial" w:cs="Arial"/>
          <w:sz w:val="22"/>
          <w:szCs w:val="22"/>
        </w:rPr>
        <w:t xml:space="preserve">d.o.o.., </w:t>
      </w:r>
      <w:r w:rsidR="00591CF1">
        <w:rPr>
          <w:rFonts w:ascii="Arial" w:hAnsi="Arial" w:cs="Arial"/>
          <w:sz w:val="22"/>
          <w:szCs w:val="22"/>
        </w:rPr>
        <w:t>Vinogradska 41, 33405</w:t>
      </w:r>
      <w:r w:rsidRPr="00D254E5">
        <w:rPr>
          <w:rFonts w:ascii="Arial" w:hAnsi="Arial" w:cs="Arial"/>
          <w:sz w:val="22"/>
          <w:szCs w:val="22"/>
        </w:rPr>
        <w:t xml:space="preserve"> </w:t>
      </w:r>
      <w:r w:rsidR="00591CF1">
        <w:rPr>
          <w:rFonts w:ascii="Arial" w:hAnsi="Arial" w:cs="Arial"/>
          <w:sz w:val="22"/>
          <w:szCs w:val="22"/>
        </w:rPr>
        <w:t>Pitomača</w:t>
      </w:r>
      <w:r w:rsidRPr="00D254E5">
        <w:rPr>
          <w:rFonts w:ascii="Arial" w:hAnsi="Arial" w:cs="Arial"/>
          <w:sz w:val="22"/>
          <w:szCs w:val="22"/>
        </w:rPr>
        <w:t xml:space="preserve">, OIB: </w:t>
      </w:r>
      <w:r w:rsidR="00591CF1" w:rsidRPr="00591CF1">
        <w:rPr>
          <w:rFonts w:ascii="Arial" w:hAnsi="Arial" w:cs="Arial"/>
          <w:sz w:val="22"/>
          <w:szCs w:val="22"/>
        </w:rPr>
        <w:t>92107053211</w:t>
      </w:r>
      <w:r w:rsidRPr="00D254E5">
        <w:rPr>
          <w:rFonts w:ascii="Arial" w:hAnsi="Arial" w:cs="Arial"/>
          <w:sz w:val="22"/>
          <w:szCs w:val="22"/>
        </w:rPr>
        <w:t xml:space="preserve"> pokrenuo je nabavu </w:t>
      </w:r>
      <w:r w:rsidR="00D254E5" w:rsidRPr="00D254E5">
        <w:rPr>
          <w:rFonts w:ascii="Arial" w:hAnsi="Arial" w:cs="Arial"/>
          <w:sz w:val="22"/>
          <w:szCs w:val="22"/>
        </w:rPr>
        <w:t>prirodnog plina za nadoknadu gubitaka u distribucijskom sustavu za srpanj 2022</w:t>
      </w:r>
      <w:r w:rsidRPr="00D254E5">
        <w:rPr>
          <w:rFonts w:ascii="Arial" w:hAnsi="Arial" w:cs="Arial"/>
          <w:sz w:val="22"/>
          <w:szCs w:val="22"/>
        </w:rPr>
        <w:t xml:space="preserve"> te Vam upućuje ovaj Poziv na dostavu ponude.</w:t>
      </w:r>
    </w:p>
    <w:p w:rsidR="00A270E9" w:rsidRPr="00D254E5" w:rsidRDefault="00A270E9" w:rsidP="00A270E9">
      <w:pPr>
        <w:jc w:val="both"/>
        <w:rPr>
          <w:rFonts w:ascii="Arial" w:hAnsi="Arial" w:cs="Arial"/>
          <w:iCs/>
          <w:sz w:val="22"/>
          <w:szCs w:val="22"/>
        </w:rPr>
      </w:pPr>
      <w:bookmarkStart w:id="0" w:name="_Toc316452902"/>
      <w:bookmarkStart w:id="1" w:name="_Toc346535565"/>
      <w:bookmarkStart w:id="2" w:name="_Toc372266895"/>
      <w:bookmarkStart w:id="3" w:name="_Toc306607777"/>
      <w:r w:rsidRPr="00D254E5">
        <w:rPr>
          <w:rFonts w:ascii="Arial" w:hAnsi="Arial" w:cs="Arial"/>
          <w:iCs/>
          <w:sz w:val="22"/>
          <w:szCs w:val="22"/>
        </w:rPr>
        <w:t>Za ovaj postupak je sukladno čl. 38. točka 2. Zakona o javnoj nabavi propisano izuzeće od primjene Zakona o javnoj nabavi odnosno isti se ne primjenjuje na Ugovore za nabavu energije ili goriva za proizvodnju energije koje dodjeljuje sektorski naručitelj koji obavlja djelatnost na području plina:</w:t>
      </w:r>
    </w:p>
    <w:p w:rsidR="00A270E9" w:rsidRPr="00D254E5" w:rsidRDefault="00A270E9" w:rsidP="00A270E9">
      <w:pPr>
        <w:numPr>
          <w:ilvl w:val="0"/>
          <w:numId w:val="39"/>
        </w:numPr>
        <w:rPr>
          <w:rFonts w:ascii="Arial" w:hAnsi="Arial" w:cs="Arial"/>
          <w:iCs/>
          <w:sz w:val="22"/>
          <w:szCs w:val="22"/>
        </w:rPr>
      </w:pPr>
      <w:r w:rsidRPr="00D254E5">
        <w:rPr>
          <w:rFonts w:ascii="Arial" w:hAnsi="Arial" w:cs="Arial"/>
          <w:iCs/>
          <w:sz w:val="22"/>
          <w:szCs w:val="22"/>
        </w:rPr>
        <w:t>pružanje fiksnih mreža ili upravljanje fiksnim mrežama namijenjenih pružanju usluge javnosti u vezi s proizvodnjom, prijenosom ili distribucijom plina</w:t>
      </w:r>
    </w:p>
    <w:p w:rsidR="00A270E9" w:rsidRPr="00D254E5" w:rsidRDefault="00A270E9" w:rsidP="00A270E9">
      <w:pPr>
        <w:numPr>
          <w:ilvl w:val="0"/>
          <w:numId w:val="39"/>
        </w:numPr>
        <w:rPr>
          <w:rFonts w:ascii="Arial" w:hAnsi="Arial" w:cs="Arial"/>
          <w:iCs/>
          <w:sz w:val="22"/>
          <w:szCs w:val="22"/>
        </w:rPr>
      </w:pPr>
      <w:r w:rsidRPr="00D254E5">
        <w:rPr>
          <w:rFonts w:ascii="Arial" w:hAnsi="Arial" w:cs="Arial"/>
          <w:iCs/>
          <w:sz w:val="22"/>
          <w:szCs w:val="22"/>
        </w:rPr>
        <w:t>isporuku plina takvim mrežama.</w:t>
      </w:r>
    </w:p>
    <w:p w:rsidR="00A270E9" w:rsidRPr="00D254E5" w:rsidRDefault="00A270E9" w:rsidP="00A270E9">
      <w:pPr>
        <w:rPr>
          <w:rFonts w:ascii="Arial" w:hAnsi="Arial" w:cs="Arial"/>
          <w:b/>
          <w:bCs/>
          <w:szCs w:val="22"/>
          <w:u w:val="single"/>
        </w:rPr>
      </w:pPr>
    </w:p>
    <w:p w:rsidR="00A270E9" w:rsidRPr="00A01ABD" w:rsidRDefault="00A270E9" w:rsidP="00A270E9">
      <w:pPr>
        <w:pStyle w:val="Naslov1"/>
        <w:jc w:val="left"/>
        <w:rPr>
          <w:rFonts w:cs="Arial"/>
          <w:szCs w:val="24"/>
          <w:lang w:val="hr-HR"/>
        </w:rPr>
      </w:pPr>
    </w:p>
    <w:p w:rsidR="00A270E9" w:rsidRPr="00A01ABD" w:rsidRDefault="00A270E9" w:rsidP="00A270E9">
      <w:pPr>
        <w:pStyle w:val="Naslov1"/>
        <w:numPr>
          <w:ilvl w:val="0"/>
          <w:numId w:val="38"/>
        </w:numPr>
        <w:ind w:hanging="1065"/>
        <w:jc w:val="left"/>
        <w:rPr>
          <w:rFonts w:cs="Arial"/>
          <w:szCs w:val="24"/>
          <w:lang w:val="hr-HR"/>
        </w:rPr>
      </w:pPr>
      <w:r w:rsidRPr="00A01ABD">
        <w:rPr>
          <w:rFonts w:cs="Arial"/>
          <w:szCs w:val="24"/>
          <w:lang w:val="hr-HR"/>
        </w:rPr>
        <w:t>OPĆI PODACI</w:t>
      </w:r>
      <w:bookmarkEnd w:id="0"/>
      <w:bookmarkEnd w:id="1"/>
      <w:bookmarkEnd w:id="2"/>
    </w:p>
    <w:p w:rsidR="00A270E9" w:rsidRPr="00A01ABD" w:rsidRDefault="00A270E9" w:rsidP="00A270E9">
      <w:pPr>
        <w:pStyle w:val="Naslov1"/>
        <w:jc w:val="left"/>
        <w:rPr>
          <w:rFonts w:cs="Arial"/>
          <w:lang w:val="hr-HR"/>
        </w:rPr>
      </w:pPr>
    </w:p>
    <w:bookmarkEnd w:id="3"/>
    <w:p w:rsidR="00A270E9" w:rsidRPr="00A01ABD" w:rsidRDefault="00A270E9" w:rsidP="00A270E9">
      <w:pPr>
        <w:pStyle w:val="Naslov2"/>
        <w:jc w:val="left"/>
        <w:rPr>
          <w:rFonts w:cs="Arial"/>
          <w:sz w:val="22"/>
          <w:szCs w:val="22"/>
          <w:lang w:val="hr-HR"/>
        </w:rPr>
      </w:pPr>
      <w:r w:rsidRPr="00A01ABD">
        <w:rPr>
          <w:rFonts w:cs="Arial"/>
          <w:sz w:val="24"/>
          <w:szCs w:val="24"/>
          <w:lang w:val="hr-HR"/>
        </w:rPr>
        <w:t>Naziv naručitelja:</w:t>
      </w:r>
    </w:p>
    <w:p w:rsidR="00A270E9" w:rsidRPr="00A01ABD" w:rsidRDefault="00A270E9" w:rsidP="00A270E9">
      <w:pPr>
        <w:rPr>
          <w:rFonts w:ascii="Arial" w:hAnsi="Arial" w:cs="Arial"/>
          <w:b/>
          <w:sz w:val="22"/>
          <w:szCs w:val="22"/>
        </w:rPr>
      </w:pP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Plin</w:t>
      </w:r>
      <w:r w:rsidR="009460E6">
        <w:rPr>
          <w:rFonts w:ascii="Arial" w:hAnsi="Arial" w:cs="Arial"/>
          <w:sz w:val="22"/>
          <w:szCs w:val="22"/>
        </w:rPr>
        <w:t>kom</w:t>
      </w:r>
      <w:proofErr w:type="spellEnd"/>
      <w:r w:rsidRPr="00A01ABD">
        <w:rPr>
          <w:rFonts w:ascii="Arial" w:hAnsi="Arial" w:cs="Arial"/>
          <w:sz w:val="22"/>
          <w:szCs w:val="22"/>
        </w:rPr>
        <w:t xml:space="preserve"> d.o.o. </w:t>
      </w:r>
    </w:p>
    <w:p w:rsidR="00A270E9" w:rsidRPr="00A01ABD" w:rsidRDefault="009460E6" w:rsidP="00A270E9">
      <w:pPr>
        <w:ind w:left="709"/>
        <w:rPr>
          <w:rFonts w:ascii="Arial" w:hAnsi="Arial" w:cs="Arial"/>
          <w:sz w:val="22"/>
          <w:szCs w:val="22"/>
        </w:rPr>
      </w:pPr>
      <w:r w:rsidRPr="009460E6">
        <w:rPr>
          <w:rFonts w:ascii="Arial" w:hAnsi="Arial" w:cs="Arial"/>
          <w:sz w:val="22"/>
          <w:szCs w:val="22"/>
        </w:rPr>
        <w:t>Vinogradska 41</w:t>
      </w:r>
      <w:r>
        <w:rPr>
          <w:rFonts w:ascii="Arial" w:hAnsi="Arial" w:cs="Arial"/>
          <w:sz w:val="22"/>
          <w:szCs w:val="22"/>
        </w:rPr>
        <w:t>, 33405</w:t>
      </w:r>
      <w:r w:rsidR="00A27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Pitomača</w:t>
      </w: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OIB: </w:t>
      </w:r>
      <w:r w:rsidR="009460E6" w:rsidRPr="009460E6">
        <w:rPr>
          <w:rFonts w:ascii="Arial" w:hAnsi="Arial" w:cs="Arial"/>
          <w:bCs/>
          <w:sz w:val="22"/>
          <w:szCs w:val="22"/>
        </w:rPr>
        <w:t>92107053211</w:t>
      </w: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Tel: </w:t>
      </w:r>
      <w:r w:rsidR="009460E6">
        <w:rPr>
          <w:rFonts w:ascii="Arial" w:hAnsi="Arial" w:cs="Arial"/>
          <w:sz w:val="22"/>
          <w:szCs w:val="22"/>
        </w:rPr>
        <w:t>033/782-202</w:t>
      </w:r>
      <w:r w:rsidR="005E0B13">
        <w:rPr>
          <w:rFonts w:ascii="Arial" w:hAnsi="Arial" w:cs="Arial"/>
          <w:sz w:val="22"/>
          <w:szCs w:val="22"/>
        </w:rPr>
        <w:t>, 099/2651-835</w:t>
      </w:r>
    </w:p>
    <w:p w:rsidR="00A270E9" w:rsidRDefault="00A270E9" w:rsidP="00A270E9">
      <w:pPr>
        <w:ind w:left="709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web: </w:t>
      </w:r>
      <w:hyperlink r:id="rId7" w:history="1">
        <w:r w:rsidR="009460E6" w:rsidRPr="00575F22">
          <w:rPr>
            <w:rStyle w:val="Hiperveza"/>
            <w:rFonts w:ascii="Arial" w:hAnsi="Arial" w:cs="Arial"/>
            <w:sz w:val="22"/>
            <w:szCs w:val="22"/>
          </w:rPr>
          <w:t>www.plinkom.hr</w:t>
        </w:r>
      </w:hyperlink>
    </w:p>
    <w:p w:rsidR="005E0B13" w:rsidRDefault="005E0B13" w:rsidP="005E0B1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575F22">
          <w:rPr>
            <w:rStyle w:val="Hiperveza"/>
            <w:rFonts w:ascii="Arial" w:hAnsi="Arial" w:cs="Arial"/>
            <w:sz w:val="22"/>
            <w:szCs w:val="22"/>
          </w:rPr>
          <w:t>plinkom@plinkom.hr</w:t>
        </w:r>
      </w:hyperlink>
    </w:p>
    <w:p w:rsidR="005E0B13" w:rsidRPr="005E0B13" w:rsidRDefault="005E0B13" w:rsidP="005E0B13">
      <w:pPr>
        <w:ind w:left="709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pStyle w:val="Naslov2"/>
        <w:jc w:val="left"/>
        <w:rPr>
          <w:rFonts w:cs="Arial"/>
          <w:sz w:val="22"/>
          <w:szCs w:val="22"/>
          <w:lang w:val="hr-HR"/>
        </w:rPr>
      </w:pPr>
      <w:r w:rsidRPr="00A01ABD">
        <w:rPr>
          <w:rFonts w:cs="Arial"/>
          <w:sz w:val="22"/>
          <w:szCs w:val="22"/>
          <w:lang w:val="hr-HR"/>
        </w:rPr>
        <w:t>Osobe zadužene za kontakt</w:t>
      </w:r>
    </w:p>
    <w:p w:rsidR="00A270E9" w:rsidRPr="00A01ABD" w:rsidRDefault="00A270E9" w:rsidP="00A270E9">
      <w:pPr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Direktor</w:t>
      </w:r>
      <w:r w:rsidRPr="00A01ABD">
        <w:rPr>
          <w:rFonts w:ascii="Arial" w:hAnsi="Arial" w:cs="Arial"/>
          <w:sz w:val="22"/>
          <w:szCs w:val="22"/>
        </w:rPr>
        <w:t xml:space="preserve">: </w:t>
      </w:r>
    </w:p>
    <w:p w:rsidR="00A270E9" w:rsidRPr="00A01ABD" w:rsidRDefault="005E0B13" w:rsidP="00A270E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Dražen </w:t>
      </w:r>
      <w:proofErr w:type="spellStart"/>
      <w:r>
        <w:rPr>
          <w:rFonts w:ascii="Arial" w:hAnsi="Arial" w:cs="Arial"/>
          <w:sz w:val="22"/>
          <w:szCs w:val="22"/>
        </w:rPr>
        <w:t>Derežić</w:t>
      </w:r>
      <w:proofErr w:type="spellEnd"/>
      <w:r>
        <w:rPr>
          <w:rFonts w:ascii="Arial" w:hAnsi="Arial" w:cs="Arial"/>
          <w:sz w:val="22"/>
          <w:szCs w:val="22"/>
        </w:rPr>
        <w:t>, dipl. ing.</w:t>
      </w:r>
    </w:p>
    <w:p w:rsidR="00A270E9" w:rsidRPr="00A01ABD" w:rsidRDefault="00A270E9" w:rsidP="00A270E9">
      <w:pPr>
        <w:ind w:left="709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Tel. </w:t>
      </w:r>
      <w:r w:rsidR="005E0B13">
        <w:rPr>
          <w:rFonts w:ascii="Arial" w:hAnsi="Arial" w:cs="Arial"/>
          <w:sz w:val="22"/>
          <w:szCs w:val="22"/>
        </w:rPr>
        <w:t>033/782-202, 099/2651-835</w:t>
      </w:r>
    </w:p>
    <w:p w:rsidR="00A270E9" w:rsidRDefault="00A270E9" w:rsidP="00A270E9">
      <w:pPr>
        <w:ind w:left="709"/>
        <w:rPr>
          <w:rFonts w:ascii="Arial" w:hAnsi="Arial" w:cs="Arial"/>
          <w:color w:val="808080"/>
          <w:sz w:val="22"/>
          <w:szCs w:val="22"/>
          <w:u w:val="single"/>
        </w:rPr>
      </w:pPr>
      <w:r w:rsidRPr="00A01ABD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r w:rsidR="005E0B13">
        <w:rPr>
          <w:rStyle w:val="Hiperveza"/>
          <w:rFonts w:ascii="Arial" w:hAnsi="Arial" w:cs="Arial"/>
          <w:sz w:val="22"/>
          <w:szCs w:val="22"/>
        </w:rPr>
        <w:t>drazen.derezic@plinkom.hr</w:t>
      </w:r>
    </w:p>
    <w:p w:rsidR="00A270E9" w:rsidRPr="00A01ABD" w:rsidRDefault="00A270E9" w:rsidP="00A270E9">
      <w:pPr>
        <w:ind w:left="709"/>
        <w:rPr>
          <w:rFonts w:ascii="Arial" w:hAnsi="Arial" w:cs="Arial"/>
          <w:i/>
          <w:color w:val="808080"/>
          <w:sz w:val="22"/>
          <w:szCs w:val="22"/>
          <w:u w:val="single"/>
        </w:rPr>
      </w:pPr>
      <w:r w:rsidRPr="00A01ABD">
        <w:rPr>
          <w:rFonts w:ascii="Arial" w:hAnsi="Arial" w:cs="Arial"/>
          <w:color w:val="808080"/>
          <w:sz w:val="22"/>
          <w:szCs w:val="22"/>
          <w:u w:val="single"/>
        </w:rPr>
        <w:t xml:space="preserve"> </w:t>
      </w:r>
    </w:p>
    <w:p w:rsidR="00A270E9" w:rsidRPr="00A01ABD" w:rsidRDefault="00A270E9" w:rsidP="00A270E9">
      <w:pPr>
        <w:rPr>
          <w:rFonts w:ascii="Arial" w:hAnsi="Arial" w:cs="Arial"/>
          <w:b/>
          <w:sz w:val="22"/>
          <w:szCs w:val="22"/>
        </w:rPr>
      </w:pPr>
    </w:p>
    <w:p w:rsidR="00A270E9" w:rsidRPr="00A01ABD" w:rsidRDefault="00A270E9" w:rsidP="00A270E9">
      <w:pPr>
        <w:rPr>
          <w:rFonts w:ascii="Arial" w:hAnsi="Arial" w:cs="Arial"/>
          <w:b/>
          <w:bCs/>
          <w:szCs w:val="22"/>
          <w:u w:val="single"/>
        </w:rPr>
      </w:pPr>
    </w:p>
    <w:p w:rsidR="00A270E9" w:rsidRPr="00A01ABD" w:rsidRDefault="00A270E9" w:rsidP="00A270E9">
      <w:pPr>
        <w:rPr>
          <w:rFonts w:ascii="Arial" w:hAnsi="Arial" w:cs="Arial"/>
          <w:b/>
          <w:bCs/>
          <w:szCs w:val="22"/>
          <w:u w:val="single"/>
        </w:rPr>
      </w:pPr>
    </w:p>
    <w:p w:rsidR="00A270E9" w:rsidRPr="00A01ABD" w:rsidRDefault="00A270E9" w:rsidP="00A270E9">
      <w:pPr>
        <w:pStyle w:val="Naslov1"/>
        <w:numPr>
          <w:ilvl w:val="0"/>
          <w:numId w:val="38"/>
        </w:numPr>
        <w:ind w:hanging="1065"/>
        <w:jc w:val="left"/>
        <w:rPr>
          <w:rFonts w:cs="Arial"/>
          <w:szCs w:val="24"/>
          <w:lang w:val="hr-HR"/>
        </w:rPr>
      </w:pPr>
      <w:r w:rsidRPr="00A01ABD">
        <w:rPr>
          <w:rFonts w:cs="Arial"/>
          <w:szCs w:val="24"/>
          <w:lang w:val="hr-HR"/>
        </w:rPr>
        <w:t>PODACI O PREDMETU NABAVE</w:t>
      </w:r>
    </w:p>
    <w:p w:rsidR="00A270E9" w:rsidRPr="00A01ABD" w:rsidRDefault="00A270E9" w:rsidP="00A270E9">
      <w:pPr>
        <w:rPr>
          <w:rFonts w:ascii="Arial" w:hAnsi="Arial" w:cs="Arial"/>
          <w:b/>
          <w:bCs/>
          <w:szCs w:val="22"/>
          <w:u w:val="single"/>
        </w:rPr>
      </w:pPr>
    </w:p>
    <w:p w:rsidR="00A270E9" w:rsidRPr="00A01ABD" w:rsidRDefault="00A270E9" w:rsidP="00A270E9">
      <w:pPr>
        <w:pStyle w:val="Naslov2"/>
        <w:spacing w:after="240"/>
        <w:jc w:val="left"/>
        <w:rPr>
          <w:rFonts w:cs="Arial"/>
          <w:sz w:val="22"/>
          <w:szCs w:val="22"/>
          <w:lang w:val="hr-HR"/>
        </w:rPr>
      </w:pPr>
      <w:r w:rsidRPr="00A01ABD">
        <w:rPr>
          <w:rFonts w:cs="Arial"/>
          <w:sz w:val="22"/>
          <w:szCs w:val="22"/>
          <w:lang w:val="hr-HR"/>
        </w:rPr>
        <w:t>Opis predmeta nabave: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01ABD">
        <w:rPr>
          <w:rFonts w:ascii="Arial" w:hAnsi="Arial" w:cs="Arial"/>
          <w:sz w:val="22"/>
          <w:szCs w:val="22"/>
          <w:lang w:eastAsia="en-US"/>
        </w:rPr>
        <w:t xml:space="preserve">Predmet nabave je prirodni </w:t>
      </w:r>
      <w:r w:rsidRPr="00A01ABD">
        <w:rPr>
          <w:rFonts w:ascii="Arial" w:hAnsi="Arial" w:cs="Arial"/>
          <w:sz w:val="22"/>
          <w:szCs w:val="22"/>
          <w:lang w:eastAsia="sl-SI"/>
        </w:rPr>
        <w:t xml:space="preserve">plin za nadoknadu gubitaka u distribucijskom sustavu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Plin</w:t>
      </w:r>
      <w:r w:rsidR="00AE2148">
        <w:rPr>
          <w:rFonts w:ascii="Arial" w:hAnsi="Arial" w:cs="Arial"/>
          <w:sz w:val="22"/>
          <w:szCs w:val="22"/>
          <w:lang w:eastAsia="sl-SI"/>
        </w:rPr>
        <w:t>kom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d.o.o. iz </w:t>
      </w:r>
      <w:r w:rsidR="00AE2148">
        <w:rPr>
          <w:rFonts w:ascii="Arial" w:hAnsi="Arial" w:cs="Arial"/>
          <w:sz w:val="22"/>
          <w:szCs w:val="22"/>
          <w:lang w:eastAsia="sl-SI"/>
        </w:rPr>
        <w:t xml:space="preserve">Pitomače </w:t>
      </w:r>
      <w:r w:rsidRPr="000D79ED">
        <w:rPr>
          <w:rFonts w:ascii="Arial" w:hAnsi="Arial" w:cs="Arial"/>
          <w:sz w:val="22"/>
          <w:szCs w:val="22"/>
          <w:lang w:eastAsia="sl-SI"/>
        </w:rPr>
        <w:t>za mje</w:t>
      </w:r>
      <w:r w:rsidR="00F14876">
        <w:rPr>
          <w:rFonts w:ascii="Arial" w:hAnsi="Arial" w:cs="Arial"/>
          <w:sz w:val="22"/>
          <w:szCs w:val="22"/>
          <w:lang w:eastAsia="sl-SI"/>
        </w:rPr>
        <w:t>sec srpanj 2022. prema Tablici 1</w:t>
      </w:r>
      <w:r>
        <w:rPr>
          <w:rFonts w:ascii="Arial" w:hAnsi="Arial" w:cs="Arial"/>
          <w:sz w:val="22"/>
          <w:szCs w:val="22"/>
          <w:lang w:eastAsia="sl-SI"/>
        </w:rPr>
        <w:t>.</w:t>
      </w:r>
      <w:r w:rsidRPr="00A01ABD">
        <w:rPr>
          <w:rFonts w:ascii="Arial" w:hAnsi="Arial" w:cs="Arial"/>
          <w:sz w:val="22"/>
          <w:szCs w:val="22"/>
          <w:lang w:eastAsia="sl-SI"/>
        </w:rPr>
        <w:t xml:space="preserve"> 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01ABD">
        <w:rPr>
          <w:rFonts w:ascii="Arial" w:hAnsi="Arial" w:cs="Arial"/>
          <w:sz w:val="22"/>
          <w:szCs w:val="22"/>
          <w:lang w:eastAsia="en-US"/>
        </w:rPr>
        <w:lastRenderedPageBreak/>
        <w:t>Ponuditelj je dužan isporučivati plin standardne kvalitete određene Općim uvjetima opskrbe plinom ("Narodne novine", br., br. 50/18, 88/19, 39/20, 100/21).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01ABD">
        <w:rPr>
          <w:rFonts w:ascii="Arial" w:hAnsi="Arial" w:cs="Arial"/>
          <w:sz w:val="22"/>
          <w:szCs w:val="22"/>
          <w:lang w:eastAsia="en-US"/>
        </w:rPr>
        <w:t xml:space="preserve">Ponuditelj se obvezuje isporučiti Naručitelju plin u </w:t>
      </w:r>
      <w:r>
        <w:rPr>
          <w:rFonts w:ascii="Arial" w:hAnsi="Arial" w:cs="Arial"/>
          <w:sz w:val="22"/>
          <w:szCs w:val="22"/>
          <w:lang w:eastAsia="en-US"/>
        </w:rPr>
        <w:t>ugovor</w:t>
      </w:r>
      <w:r w:rsidRPr="00A01ABD">
        <w:rPr>
          <w:rFonts w:ascii="Arial" w:hAnsi="Arial" w:cs="Arial"/>
          <w:sz w:val="22"/>
          <w:szCs w:val="22"/>
          <w:lang w:eastAsia="en-US"/>
        </w:rPr>
        <w:t xml:space="preserve">enoj količini i kvaliteti u </w:t>
      </w:r>
      <w:r>
        <w:rPr>
          <w:rFonts w:ascii="Arial" w:hAnsi="Arial" w:cs="Arial"/>
          <w:sz w:val="22"/>
          <w:szCs w:val="22"/>
          <w:lang w:eastAsia="en-US"/>
        </w:rPr>
        <w:t>ugovor</w:t>
      </w:r>
      <w:r w:rsidRPr="00A01ABD">
        <w:rPr>
          <w:rFonts w:ascii="Arial" w:hAnsi="Arial" w:cs="Arial"/>
          <w:sz w:val="22"/>
          <w:szCs w:val="22"/>
          <w:lang w:eastAsia="en-US"/>
        </w:rPr>
        <w:t>eno vrijeme na izlazima iz transportnog sustava koji su ulazi u hidrauličke cjeline distribucijskog sustava (u daljnjem tekstu: Mjesta isporuke), koja će naznačiti Naručitelj u svojim nominacijama, a Naručitelj se obvezuje preuzeti plin prema podacima u nominacijama predanim Ponuditelju.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70E9" w:rsidRPr="00A01ABD" w:rsidRDefault="00D254E5" w:rsidP="00A270E9">
      <w:pPr>
        <w:widowControl w:val="0"/>
        <w:ind w:right="23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en-US"/>
        </w:rPr>
        <w:t>T</w:t>
      </w:r>
      <w:r w:rsidRPr="00A01ABD">
        <w:rPr>
          <w:rFonts w:ascii="Arial" w:hAnsi="Arial" w:cs="Arial"/>
          <w:b/>
          <w:sz w:val="20"/>
          <w:szCs w:val="20"/>
          <w:lang w:eastAsia="en-US"/>
        </w:rPr>
        <w:t>ablica</w:t>
      </w:r>
      <w:r w:rsidR="00F14876">
        <w:rPr>
          <w:rFonts w:ascii="Arial" w:hAnsi="Arial" w:cs="Arial"/>
          <w:b/>
          <w:sz w:val="20"/>
          <w:szCs w:val="20"/>
          <w:lang w:eastAsia="en-US"/>
        </w:rPr>
        <w:t xml:space="preserve"> 1.</w:t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  <w:r w:rsidRPr="00A01ABD">
        <w:rPr>
          <w:rFonts w:ascii="Arial" w:hAnsi="Arial" w:cs="Arial"/>
          <w:b/>
          <w:sz w:val="20"/>
          <w:szCs w:val="20"/>
          <w:lang w:eastAsia="en-US"/>
        </w:rPr>
        <w:t xml:space="preserve"> Količina isporuke plina za </w:t>
      </w:r>
      <w:r>
        <w:rPr>
          <w:rFonts w:ascii="Arial" w:hAnsi="Arial" w:cs="Arial"/>
          <w:b/>
          <w:sz w:val="20"/>
          <w:szCs w:val="20"/>
          <w:lang w:eastAsia="en-US"/>
        </w:rPr>
        <w:t>srpanj 2022</w:t>
      </w:r>
    </w:p>
    <w:p w:rsidR="00D254E5" w:rsidRDefault="00D254E5" w:rsidP="00D254E5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254E5" w:rsidTr="00D254E5">
        <w:tc>
          <w:tcPr>
            <w:tcW w:w="3020" w:type="dxa"/>
          </w:tcPr>
          <w:p w:rsidR="00D254E5" w:rsidRDefault="00D254E5" w:rsidP="00D254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:rsidR="00D254E5" w:rsidRPr="00D254E5" w:rsidRDefault="00D254E5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54E5">
              <w:rPr>
                <w:rFonts w:ascii="Arial" w:hAnsi="Arial" w:cs="Arial"/>
                <w:sz w:val="18"/>
                <w:szCs w:val="18"/>
                <w:lang w:eastAsia="en-US"/>
              </w:rPr>
              <w:t>MJESEČNE KOLIČINE</w:t>
            </w:r>
          </w:p>
        </w:tc>
        <w:tc>
          <w:tcPr>
            <w:tcW w:w="3021" w:type="dxa"/>
          </w:tcPr>
          <w:p w:rsidR="00D254E5" w:rsidRPr="00D254E5" w:rsidRDefault="00D254E5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54E5">
              <w:rPr>
                <w:rFonts w:ascii="Arial" w:hAnsi="Arial" w:cs="Arial"/>
                <w:sz w:val="18"/>
                <w:szCs w:val="18"/>
                <w:lang w:eastAsia="en-US"/>
              </w:rPr>
              <w:t>MAX. DNEVNE KOLIČINE</w:t>
            </w:r>
          </w:p>
        </w:tc>
      </w:tr>
      <w:tr w:rsidR="00D254E5" w:rsidTr="00D254E5">
        <w:tc>
          <w:tcPr>
            <w:tcW w:w="3020" w:type="dxa"/>
          </w:tcPr>
          <w:p w:rsidR="00D254E5" w:rsidRDefault="00D254E5" w:rsidP="00D254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:rsidR="00D254E5" w:rsidRPr="00D254E5" w:rsidRDefault="005A330D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Pitomača</w:t>
            </w:r>
            <w:r w:rsidR="00D254E5" w:rsidRPr="00D254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54E5" w:rsidRPr="00D254E5">
              <w:rPr>
                <w:rFonts w:ascii="Arial" w:hAnsi="Arial" w:cs="Arial"/>
                <w:bCs/>
                <w:sz w:val="18"/>
                <w:szCs w:val="18"/>
              </w:rPr>
              <w:t>[kWh]  NCV</w:t>
            </w:r>
          </w:p>
        </w:tc>
        <w:tc>
          <w:tcPr>
            <w:tcW w:w="3021" w:type="dxa"/>
          </w:tcPr>
          <w:p w:rsidR="00D254E5" w:rsidRPr="00D254E5" w:rsidRDefault="005A330D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Pitomača</w:t>
            </w:r>
            <w:r w:rsidR="00D254E5" w:rsidRPr="00D254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54E5" w:rsidRPr="00D254E5">
              <w:rPr>
                <w:rFonts w:ascii="Arial" w:hAnsi="Arial" w:cs="Arial"/>
                <w:bCs/>
                <w:sz w:val="18"/>
                <w:szCs w:val="18"/>
              </w:rPr>
              <w:t>[kWh]  NCV</w:t>
            </w:r>
          </w:p>
        </w:tc>
      </w:tr>
      <w:tr w:rsidR="00D254E5" w:rsidTr="0088527D">
        <w:trPr>
          <w:trHeight w:val="263"/>
        </w:trPr>
        <w:tc>
          <w:tcPr>
            <w:tcW w:w="3020" w:type="dxa"/>
          </w:tcPr>
          <w:p w:rsidR="00D254E5" w:rsidRPr="0088527D" w:rsidRDefault="00D254E5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8527D">
              <w:rPr>
                <w:rFonts w:ascii="Arial" w:hAnsi="Arial" w:cs="Arial"/>
                <w:sz w:val="18"/>
                <w:szCs w:val="18"/>
                <w:lang w:eastAsia="en-US"/>
              </w:rPr>
              <w:t>Srpanj 2022</w:t>
            </w:r>
          </w:p>
        </w:tc>
        <w:tc>
          <w:tcPr>
            <w:tcW w:w="3020" w:type="dxa"/>
          </w:tcPr>
          <w:p w:rsidR="00D254E5" w:rsidRPr="0088527D" w:rsidRDefault="001D0D36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150.000</w:t>
            </w:r>
          </w:p>
        </w:tc>
        <w:tc>
          <w:tcPr>
            <w:tcW w:w="3021" w:type="dxa"/>
          </w:tcPr>
          <w:p w:rsidR="00D254E5" w:rsidRPr="0088527D" w:rsidRDefault="001D0D36" w:rsidP="00D254E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4.800</w:t>
            </w:r>
          </w:p>
        </w:tc>
      </w:tr>
    </w:tbl>
    <w:p w:rsidR="00D254E5" w:rsidRDefault="00D254E5" w:rsidP="00D254E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270E9" w:rsidRPr="00D254E5" w:rsidRDefault="00D254E5" w:rsidP="00D254E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N</w:t>
      </w:r>
      <w:r w:rsidRPr="00A01ABD">
        <w:rPr>
          <w:rFonts w:ascii="Arial" w:hAnsi="Arial" w:cs="Arial"/>
          <w:bCs/>
          <w:sz w:val="20"/>
          <w:szCs w:val="20"/>
          <w:lang w:eastAsia="en-US"/>
        </w:rPr>
        <w:t xml:space="preserve">CV = </w:t>
      </w:r>
      <w:proofErr w:type="spellStart"/>
      <w:r w:rsidRPr="00326B86">
        <w:rPr>
          <w:rFonts w:ascii="Arial" w:hAnsi="Arial" w:cs="Arial"/>
          <w:bCs/>
          <w:sz w:val="20"/>
          <w:szCs w:val="20"/>
          <w:lang w:eastAsia="en-US"/>
        </w:rPr>
        <w:t>Net</w:t>
      </w:r>
      <w:proofErr w:type="spellEnd"/>
      <w:r w:rsidRPr="00326B8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326B86">
        <w:rPr>
          <w:rFonts w:ascii="Arial" w:hAnsi="Arial" w:cs="Arial"/>
          <w:bCs/>
          <w:sz w:val="20"/>
          <w:szCs w:val="20"/>
          <w:lang w:eastAsia="en-US"/>
        </w:rPr>
        <w:t>Calorific</w:t>
      </w:r>
      <w:proofErr w:type="spellEnd"/>
      <w:r w:rsidRPr="00326B8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Pr="00326B86">
        <w:rPr>
          <w:rFonts w:ascii="Arial" w:hAnsi="Arial" w:cs="Arial"/>
          <w:bCs/>
          <w:sz w:val="20"/>
          <w:szCs w:val="20"/>
          <w:lang w:eastAsia="en-US"/>
        </w:rPr>
        <w:t>Value</w:t>
      </w:r>
      <w:proofErr w:type="spellEnd"/>
      <w:r w:rsidRPr="00326B8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(= donja ogrjevna vrijednos</w:t>
      </w:r>
      <w:r w:rsidR="0088527D">
        <w:rPr>
          <w:rFonts w:ascii="Arial" w:hAnsi="Arial" w:cs="Arial"/>
          <w:bCs/>
          <w:sz w:val="20"/>
          <w:szCs w:val="20"/>
          <w:lang w:eastAsia="en-US"/>
        </w:rPr>
        <w:t>t)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b/>
          <w:bCs/>
          <w:sz w:val="22"/>
          <w:szCs w:val="22"/>
        </w:rPr>
        <w:t>Količina predmeta nabave:</w:t>
      </w:r>
      <w:r w:rsidRPr="00A01ABD">
        <w:rPr>
          <w:rFonts w:ascii="Arial" w:hAnsi="Arial" w:cs="Arial"/>
          <w:sz w:val="22"/>
          <w:szCs w:val="22"/>
        </w:rPr>
        <w:t xml:space="preserve"> prema Tablici</w:t>
      </w:r>
      <w:r w:rsidR="00F14876">
        <w:rPr>
          <w:rFonts w:ascii="Arial" w:hAnsi="Arial" w:cs="Arial"/>
          <w:sz w:val="22"/>
          <w:szCs w:val="22"/>
        </w:rPr>
        <w:t xml:space="preserve"> 1</w:t>
      </w:r>
      <w:r w:rsidR="00D254E5">
        <w:rPr>
          <w:rFonts w:ascii="Arial" w:hAnsi="Arial" w:cs="Arial"/>
          <w:sz w:val="22"/>
          <w:szCs w:val="22"/>
        </w:rPr>
        <w:t>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 priloženom Troškovniku navedene su procijenjene </w:t>
      </w:r>
      <w:r w:rsidRPr="000241FF">
        <w:rPr>
          <w:rFonts w:ascii="Arial" w:hAnsi="Arial" w:cs="Arial"/>
          <w:sz w:val="22"/>
          <w:szCs w:val="22"/>
        </w:rPr>
        <w:t xml:space="preserve">mjesečne potrebe Naručitelja za srpanj </w:t>
      </w:r>
      <w:r>
        <w:rPr>
          <w:rFonts w:ascii="Arial" w:hAnsi="Arial" w:cs="Arial"/>
          <w:sz w:val="22"/>
          <w:szCs w:val="22"/>
        </w:rPr>
        <w:t>2022.</w:t>
      </w:r>
      <w:r w:rsidRPr="00A01ABD">
        <w:rPr>
          <w:rFonts w:ascii="Arial" w:hAnsi="Arial" w:cs="Arial"/>
          <w:sz w:val="22"/>
          <w:szCs w:val="22"/>
        </w:rPr>
        <w:t xml:space="preserve"> koje su određene na temelju stope gubitaka za prethodno obračunsko razdoblje i prikupljenih podataka o potrošnji na distribucijskom sustavu.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Prethodno razdoblje obračuna gubitaka obuhvaća razdoblje od uključivo srpnja prethodne godine do uključivo lipnja godine u kojoj se utvrđuju godišnji gubici plina.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Stvarna realizacija ovisi o potrebama Naručitelja te može biti veća ili manja od navedene okvirne količine.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Za predviđenu količinu prirodnog plina potrebno je poslati ponudu za opciju </w:t>
      </w:r>
      <w:r>
        <w:rPr>
          <w:rFonts w:ascii="Arial" w:hAnsi="Arial" w:cs="Arial"/>
          <w:sz w:val="22"/>
          <w:szCs w:val="22"/>
        </w:rPr>
        <w:t>mjesečne</w:t>
      </w:r>
      <w:r w:rsidRPr="00A01ABD">
        <w:rPr>
          <w:rFonts w:ascii="Arial" w:hAnsi="Arial" w:cs="Arial"/>
          <w:sz w:val="22"/>
          <w:szCs w:val="22"/>
        </w:rPr>
        <w:t xml:space="preserve"> fleksibilnosti (dozvoljena odstupanja) +/- </w:t>
      </w:r>
      <w:r w:rsidR="00D254E5">
        <w:rPr>
          <w:rFonts w:ascii="Arial" w:hAnsi="Arial" w:cs="Arial"/>
          <w:sz w:val="22"/>
          <w:szCs w:val="22"/>
        </w:rPr>
        <w:t>20</w:t>
      </w:r>
      <w:r w:rsidRPr="00A01ABD">
        <w:rPr>
          <w:rFonts w:ascii="Arial" w:hAnsi="Arial" w:cs="Arial"/>
          <w:sz w:val="22"/>
          <w:szCs w:val="22"/>
        </w:rPr>
        <w:t xml:space="preserve">%. </w:t>
      </w:r>
    </w:p>
    <w:p w:rsidR="00A270E9" w:rsidRPr="00A01ABD" w:rsidRDefault="00A270E9" w:rsidP="00A270E9">
      <w:pPr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Dozvoljena odstupanja prema navedenoj opciji fleksibilnosti ne mogu povećati cijenu navedenu u Troškovniku, odnosno obvezati Naručitelja na plaćanje bilo kakvih penala,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>ih kazni, dodatnih troškova ili drugih iznosa osim cijene iz Troškovnika.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1ABD">
        <w:rPr>
          <w:rFonts w:ascii="Arial" w:hAnsi="Arial" w:cs="Arial"/>
          <w:b/>
          <w:bCs/>
          <w:sz w:val="22"/>
          <w:szCs w:val="22"/>
        </w:rPr>
        <w:t>Troškovnik (Prilog 1):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70E9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53015F">
        <w:rPr>
          <w:rFonts w:ascii="Arial" w:hAnsi="Arial" w:cs="Arial"/>
          <w:sz w:val="22"/>
          <w:szCs w:val="22"/>
        </w:rPr>
        <w:t>Jedinična cijena energije nepromjenjiva je za vrijeme trajanja Ugovora o opskrbi (dalje Ugovora)</w:t>
      </w:r>
    </w:p>
    <w:p w:rsidR="00A270E9" w:rsidRPr="0053015F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Ponuditelj daje ponudu za cjelovit predmet nabave i mora popuniti sve stavke Troškovnika označene žutom bojom.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bookmarkStart w:id="4" w:name="_Hlk100862935"/>
      <w:r w:rsidRPr="00A01ABD">
        <w:rPr>
          <w:rFonts w:ascii="Arial" w:hAnsi="Arial" w:cs="Arial"/>
          <w:sz w:val="22"/>
          <w:szCs w:val="22"/>
        </w:rPr>
        <w:t>Upisuje se (stupac 1) jedinična cijena energije (C) bez PDV-a koja se izražava u EUR/</w:t>
      </w:r>
      <w:proofErr w:type="spellStart"/>
      <w:r w:rsidRPr="00A01ABD">
        <w:rPr>
          <w:rFonts w:ascii="Arial" w:hAnsi="Arial" w:cs="Arial"/>
          <w:sz w:val="22"/>
          <w:szCs w:val="22"/>
        </w:rPr>
        <w:t>MWh</w:t>
      </w:r>
      <w:proofErr w:type="spellEnd"/>
      <w:r w:rsidRPr="00A01AB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NCV</w:t>
      </w:r>
      <w:r w:rsidRPr="00A01ABD">
        <w:rPr>
          <w:rFonts w:ascii="Arial" w:hAnsi="Arial" w:cs="Arial"/>
          <w:sz w:val="22"/>
          <w:szCs w:val="22"/>
        </w:rPr>
        <w:t>) na 3 (tri) decimalna mjesta.</w:t>
      </w:r>
      <w:bookmarkEnd w:id="4"/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Jedinična cijena energije (C) bez PDV-a dijeli se sa 1000 i izražava se u EUR/kWh (</w:t>
      </w:r>
      <w:r>
        <w:rPr>
          <w:rFonts w:ascii="Arial" w:hAnsi="Arial" w:cs="Arial"/>
          <w:sz w:val="22"/>
          <w:szCs w:val="22"/>
        </w:rPr>
        <w:t>NCV</w:t>
      </w:r>
      <w:r w:rsidRPr="00A01ABD">
        <w:rPr>
          <w:rFonts w:ascii="Arial" w:hAnsi="Arial" w:cs="Arial"/>
          <w:sz w:val="22"/>
          <w:szCs w:val="22"/>
        </w:rPr>
        <w:t>) na 6 (šest) decimalnih mjesta: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center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C</w:t>
      </w:r>
      <w:r w:rsidRPr="00A01ABD">
        <w:rPr>
          <w:rFonts w:ascii="Arial" w:hAnsi="Arial" w:cs="Arial"/>
          <w:sz w:val="22"/>
          <w:szCs w:val="22"/>
          <w:vertAlign w:val="subscript"/>
        </w:rPr>
        <w:t>(EUR/kWh (</w:t>
      </w:r>
      <w:r>
        <w:rPr>
          <w:rFonts w:ascii="Arial" w:hAnsi="Arial" w:cs="Arial"/>
          <w:sz w:val="22"/>
          <w:szCs w:val="22"/>
          <w:vertAlign w:val="subscript"/>
        </w:rPr>
        <w:t>NCV</w:t>
      </w:r>
      <w:r w:rsidRPr="00A01ABD">
        <w:rPr>
          <w:rFonts w:ascii="Arial" w:hAnsi="Arial" w:cs="Arial"/>
          <w:sz w:val="22"/>
          <w:szCs w:val="22"/>
          <w:vertAlign w:val="subscript"/>
        </w:rPr>
        <w:t>))</w:t>
      </w:r>
      <w:r w:rsidRPr="00A01ABD">
        <w:rPr>
          <w:rFonts w:ascii="Arial" w:hAnsi="Arial" w:cs="Arial"/>
          <w:sz w:val="22"/>
          <w:szCs w:val="22"/>
        </w:rPr>
        <w:t xml:space="preserve"> = C / 1000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lastRenderedPageBreak/>
        <w:t xml:space="preserve">Ukupan trošak energije za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o razdoblje bez PDV-a, dobije se množenjem okvirne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e količine (kWh, </w:t>
      </w:r>
      <w:r>
        <w:rPr>
          <w:rFonts w:ascii="Arial" w:hAnsi="Arial" w:cs="Arial"/>
          <w:sz w:val="22"/>
          <w:szCs w:val="22"/>
        </w:rPr>
        <w:t>NCV</w:t>
      </w:r>
      <w:r w:rsidRPr="00A01ABD">
        <w:rPr>
          <w:rFonts w:ascii="Arial" w:hAnsi="Arial" w:cs="Arial"/>
          <w:sz w:val="22"/>
          <w:szCs w:val="22"/>
        </w:rPr>
        <w:t>) i jedinične cijena energije bez PDV-a C</w:t>
      </w:r>
      <w:r w:rsidRPr="00A01ABD">
        <w:rPr>
          <w:rFonts w:ascii="Arial" w:hAnsi="Arial" w:cs="Arial"/>
          <w:sz w:val="22"/>
          <w:szCs w:val="22"/>
          <w:vertAlign w:val="subscript"/>
        </w:rPr>
        <w:t>EUR/kWh (</w:t>
      </w:r>
      <w:r>
        <w:rPr>
          <w:rFonts w:ascii="Arial" w:hAnsi="Arial" w:cs="Arial"/>
          <w:sz w:val="22"/>
          <w:szCs w:val="22"/>
          <w:vertAlign w:val="subscript"/>
        </w:rPr>
        <w:t>NCV</w:t>
      </w:r>
      <w:r w:rsidRPr="00A01ABD">
        <w:rPr>
          <w:rFonts w:ascii="Arial" w:hAnsi="Arial" w:cs="Arial"/>
          <w:sz w:val="22"/>
          <w:szCs w:val="22"/>
          <w:vertAlign w:val="subscript"/>
        </w:rPr>
        <w:t>)</w:t>
      </w:r>
      <w:r w:rsidRPr="00A01ABD">
        <w:rPr>
          <w:rFonts w:ascii="Arial" w:hAnsi="Arial" w:cs="Arial"/>
          <w:sz w:val="22"/>
          <w:szCs w:val="22"/>
        </w:rPr>
        <w:t xml:space="preserve"> odnosno množenjem stupca 2 sa stupcem 3 Troškovnika, 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Ukupni troškovi energije (stupci 4 i 7) se iskazuju na 2 (dva) decimalna mjesta.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Trošak energije uravnoteženja treba biti uračunat u cijenu.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Trošak transporta (stupac 5) u Republici Hrvatskoj se za navedeno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>o razdoblje iskazuje posebno (u kunama).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Ukupan trošak energije za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o razdoblje iskazan u EUR </w:t>
      </w:r>
      <w:bookmarkStart w:id="5" w:name="_Hlk101347116"/>
      <w:r w:rsidRPr="00A01ABD">
        <w:rPr>
          <w:rFonts w:ascii="Arial" w:hAnsi="Arial" w:cs="Arial"/>
          <w:sz w:val="22"/>
          <w:szCs w:val="22"/>
        </w:rPr>
        <w:t xml:space="preserve">preračunava se u kune (stupac 7) </w:t>
      </w:r>
      <w:bookmarkEnd w:id="5"/>
      <w:r w:rsidRPr="00FB7F72">
        <w:rPr>
          <w:rFonts w:ascii="Arial" w:hAnsi="Arial" w:cs="Arial"/>
          <w:sz w:val="22"/>
          <w:szCs w:val="22"/>
        </w:rPr>
        <w:t xml:space="preserve">množenjem iznosa </w:t>
      </w:r>
      <w:r w:rsidRPr="006627B1">
        <w:rPr>
          <w:rFonts w:ascii="Arial" w:hAnsi="Arial" w:cs="Arial"/>
          <w:sz w:val="22"/>
          <w:szCs w:val="22"/>
        </w:rPr>
        <w:t>sa srednjim tečajem kune HNB</w:t>
      </w:r>
      <w:r w:rsidRPr="00FB7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datum objave natječajnog poziva</w:t>
      </w:r>
      <w:r w:rsidRPr="00FB7F72">
        <w:rPr>
          <w:rFonts w:ascii="Arial" w:hAnsi="Arial" w:cs="Arial"/>
          <w:sz w:val="22"/>
          <w:szCs w:val="22"/>
        </w:rPr>
        <w:t>) zbog mogućnosti usporedbe ponuda koje nisu istovjetno datirane.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Ukupna vrijednost ponude (stupac 8) dobije se zbrajanjem ukupnog troška energije za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o razdoblje i troška transporta u Republici Hrvatskoj za navedeno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>o razdoblje.</w:t>
      </w:r>
    </w:p>
    <w:p w:rsidR="00A270E9" w:rsidRPr="00A01ABD" w:rsidRDefault="00A270E9" w:rsidP="00A270E9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Ponudu, koja ne sadrži sve popunjene stavke</w:t>
      </w:r>
      <w:r>
        <w:rPr>
          <w:rFonts w:ascii="Arial" w:hAnsi="Arial" w:cs="Arial"/>
          <w:sz w:val="22"/>
          <w:szCs w:val="22"/>
        </w:rPr>
        <w:t xml:space="preserve"> (označene žutom bojom)</w:t>
      </w:r>
      <w:r w:rsidRPr="00A01ABD">
        <w:rPr>
          <w:rFonts w:ascii="Arial" w:hAnsi="Arial" w:cs="Arial"/>
          <w:sz w:val="22"/>
          <w:szCs w:val="22"/>
        </w:rPr>
        <w:t xml:space="preserve"> Troškovnika, Naručitelj ne mora uzeti u obzir.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 w:rsidRPr="00A01ABD">
        <w:rPr>
          <w:rFonts w:ascii="Arial" w:hAnsi="Arial" w:cs="Arial"/>
          <w:b/>
          <w:sz w:val="22"/>
          <w:szCs w:val="22"/>
          <w:lang w:eastAsia="sl-SI"/>
        </w:rPr>
        <w:t>Nadoknada zbog nepreuzetih količina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Nepreuzete količine su razlika između stvarno preuzetih količina i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ugovor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enih količina umanjenih za dozvoljeno odstupanje (</w:t>
      </w:r>
      <w:r w:rsidR="00D254E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20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%)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za srpanj 2022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.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Naručitelj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će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Ponuditelj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u osim stvarno preuzetih količina po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ugovor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enoj cijeni platiti nadoknadu za nepreuzetu količinu po cijeni koja se računa prema formuli:</w:t>
      </w:r>
    </w:p>
    <w:p w:rsidR="00A270E9" w:rsidRDefault="00A270E9" w:rsidP="00A270E9">
      <w:pPr>
        <w:widowControl w:val="0"/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Default="00A270E9" w:rsidP="00A270E9">
      <w:pPr>
        <w:widowControl w:val="0"/>
        <w:ind w:right="20"/>
        <w:jc w:val="center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C(</w:t>
      </w:r>
      <w:proofErr w:type="spellStart"/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mp</w:t>
      </w:r>
      <w:proofErr w:type="spellEnd"/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 xml:space="preserve">m </w:t>
      </w: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= C</w:t>
      </w:r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(EUR/kWh (NCV))</w:t>
      </w: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– ((CEGHIX(</w:t>
      </w:r>
      <w:proofErr w:type="spellStart"/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2B339C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- 0,7) x 1,11)/1000</w:t>
      </w:r>
    </w:p>
    <w:p w:rsidR="00A270E9" w:rsidRPr="00A01ABD" w:rsidRDefault="00A270E9" w:rsidP="00A270E9">
      <w:pPr>
        <w:widowControl w:val="0"/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0"/>
          <w:szCs w:val="20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spacing w:after="120"/>
        <w:ind w:right="23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gdje je:</w:t>
      </w:r>
    </w:p>
    <w:p w:rsidR="00A270E9" w:rsidRPr="00A01ABD" w:rsidRDefault="00A270E9" w:rsidP="00A270E9">
      <w:pPr>
        <w:widowControl w:val="0"/>
        <w:tabs>
          <w:tab w:val="left" w:pos="1560"/>
        </w:tabs>
        <w:spacing w:after="120"/>
        <w:ind w:left="1560" w:right="23" w:hanging="156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Cijena za nepreuzete količine </w:t>
      </w:r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 mjesecu „m“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iskazana na 6 (šest) decimalnih mjesta (EUR/kWh (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))</w:t>
      </w:r>
    </w:p>
    <w:p w:rsidR="00A270E9" w:rsidRPr="00A01ABD" w:rsidRDefault="00A270E9" w:rsidP="00A270E9">
      <w:pPr>
        <w:widowControl w:val="0"/>
        <w:tabs>
          <w:tab w:val="left" w:pos="1560"/>
        </w:tabs>
        <w:spacing w:after="120"/>
        <w:ind w:left="1560" w:right="23" w:hanging="156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(EUR/kWh (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NCV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))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Jedinična cijena energije nepromjenjiva za cijelo vrijeme trajanja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Ugovor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 iskazana na 6 (šest) decimalnih mjesta (EUR/kWh (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))</w:t>
      </w:r>
    </w:p>
    <w:p w:rsidR="00A270E9" w:rsidRDefault="00A270E9" w:rsidP="00A270E9">
      <w:pPr>
        <w:widowControl w:val="0"/>
        <w:tabs>
          <w:tab w:val="left" w:pos="1560"/>
        </w:tabs>
        <w:ind w:left="1559" w:right="23" w:hanging="1559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CEGHIX(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Aritmetički prosjek indeksa CEGHIX (radni dani i neradni dani/vikendi) </w:t>
      </w:r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 mjesecu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"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"</w:t>
      </w:r>
      <w:r w:rsidRPr="00A01ABD"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iskazan na 3 (tri) decimalna mjesta (EUR/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MWh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</w:t>
      </w:r>
      <w:r w:rsidRPr="003B32C0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GCV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NCV =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Net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Calorific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Value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(= donja ogrjevna vrijednost)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bookmarkStart w:id="6" w:name="_Hlk104983521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GCV =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Gross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Calorific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Value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(= gornja ogrjevna vrijednost)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  = mjesec srpanj</w:t>
      </w:r>
    </w:p>
    <w:bookmarkEnd w:id="6"/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Ukoliko je rezultat izračuna negativna vrijednost, vrijednost C(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= 0.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widowControl w:val="0"/>
        <w:tabs>
          <w:tab w:val="left" w:pos="452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Navedena cijena množi se s </w:t>
      </w:r>
      <w:r w:rsidRPr="00B671B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mjesečnom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nepreuzetom količinom.</w:t>
      </w:r>
    </w:p>
    <w:p w:rsidR="00A270E9" w:rsidRPr="00A01ABD" w:rsidRDefault="00A270E9" w:rsidP="00A270E9">
      <w:pPr>
        <w:widowControl w:val="0"/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U slučaju nepreuzetih </w:t>
      </w:r>
      <w:r w:rsidRPr="00B671B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mjesečnih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količina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,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Ponuditelj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će obračun nadoknade zbog nepreuzetih količina iskazati na posebnom računu s dospijećem plaćanja ne kraćim od 30 dana od dana izdavanja računa. Dan izdavanja računa smatra se 12. dan u mjesecu koji slijedi nakon isteka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mjeseca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u kojem su utvrđene nepreuzete količine ili prvi radni dan ako isti pada na neradni dan. </w:t>
      </w:r>
    </w:p>
    <w:p w:rsidR="00A270E9" w:rsidRPr="00A01ABD" w:rsidRDefault="00A270E9" w:rsidP="00A270E9">
      <w:pPr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  <w:r w:rsidRPr="00A01ABD">
        <w:rPr>
          <w:rFonts w:ascii="Arial" w:hAnsi="Arial" w:cs="Arial"/>
          <w:b/>
          <w:sz w:val="22"/>
          <w:szCs w:val="22"/>
          <w:lang w:eastAsia="sl-SI"/>
        </w:rPr>
        <w:t xml:space="preserve">Nadoknada zbog više preuzetih količina 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Više preuzete količine su preuzete količine iznad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ugovor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enih količina uvećanih za dozvoljeno odstupanje (</w:t>
      </w:r>
      <w:r w:rsidR="002D3231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2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0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%) u promatranom </w:t>
      </w:r>
      <w:r w:rsidRPr="00B671B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mjesecu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.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Naručitelj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će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Ponuditelj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 za više preuzete količine plina platiti nadoknadu koja se računa prema formuli:</w:t>
      </w:r>
    </w:p>
    <w:p w:rsidR="00A270E9" w:rsidRDefault="00A270E9" w:rsidP="00A270E9">
      <w:pPr>
        <w:widowControl w:val="0"/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Default="00A270E9" w:rsidP="00A270E9">
      <w:pPr>
        <w:widowControl w:val="0"/>
        <w:ind w:right="20"/>
        <w:jc w:val="center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C(</w:t>
      </w:r>
      <w:proofErr w:type="spellStart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vp</w:t>
      </w:r>
      <w:proofErr w:type="spellEnd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)m = (CEGHIX(</w:t>
      </w:r>
      <w:proofErr w:type="spellStart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)m x 1,11 + </w:t>
      </w:r>
      <w:proofErr w:type="spellStart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Dvp</w:t>
      </w:r>
      <w:proofErr w:type="spellEnd"/>
      <w:r w:rsidRPr="0005081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 / 1000</w:t>
      </w:r>
    </w:p>
    <w:p w:rsidR="00A270E9" w:rsidRPr="00A01ABD" w:rsidRDefault="00A270E9" w:rsidP="00A270E9">
      <w:pPr>
        <w:widowControl w:val="0"/>
        <w:ind w:right="20"/>
        <w:jc w:val="center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ind w:right="20"/>
        <w:jc w:val="center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spacing w:after="120"/>
        <w:ind w:right="23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gdje je:</w:t>
      </w:r>
    </w:p>
    <w:p w:rsidR="00A270E9" w:rsidRPr="00A01ABD" w:rsidRDefault="00A270E9" w:rsidP="00A270E9">
      <w:pPr>
        <w:widowControl w:val="0"/>
        <w:tabs>
          <w:tab w:val="left" w:pos="1560"/>
        </w:tabs>
        <w:spacing w:after="120"/>
        <w:ind w:left="1560" w:right="23" w:hanging="156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Cijena za više preuzete količine </w:t>
      </w:r>
      <w:r w:rsidRPr="00EE5590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u mjesecu "m"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iskazana na 6 (šest) decimalnih mjesta (EUR/kWh (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</w:p>
    <w:p w:rsidR="00A270E9" w:rsidRPr="00A01ABD" w:rsidRDefault="00A270E9" w:rsidP="00A270E9">
      <w:pPr>
        <w:widowControl w:val="0"/>
        <w:tabs>
          <w:tab w:val="left" w:pos="1560"/>
        </w:tabs>
        <w:spacing w:after="120"/>
        <w:ind w:left="1560" w:right="20" w:hanging="156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CEGHIX(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Aritmetički prosjek indeksa CEGHIX (radni dani i neradni dani/vikendi) u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mjesecu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"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" (EUR/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MWh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iskazan na 3 (tri) decimalna mjesta (GCV))</w:t>
      </w:r>
    </w:p>
    <w:p w:rsidR="00A270E9" w:rsidRPr="00A01ABD" w:rsidRDefault="00A270E9" w:rsidP="00A270E9">
      <w:pPr>
        <w:widowControl w:val="0"/>
        <w:tabs>
          <w:tab w:val="left" w:pos="1560"/>
        </w:tabs>
        <w:spacing w:after="120"/>
        <w:ind w:left="1560" w:right="20" w:hanging="156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D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vp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>Dodatak na CEGHIX(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m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za više preuzete količine iskazan na 3 (tri) decimalna mjesta (EUR/</w:t>
      </w:r>
      <w:proofErr w:type="spellStart"/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Wh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NCV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NCV =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Net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Calorific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Value</w:t>
      </w:r>
      <w:proofErr w:type="spellEnd"/>
      <w:r w:rsidRPr="006E3064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(= donja ogrjevna vrijednost)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GCV =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Gross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Calorific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Value</w:t>
      </w:r>
      <w:proofErr w:type="spellEnd"/>
      <w:r w:rsidRPr="009975A5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(= gornja ogrjevna vrijednost)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ab/>
        <w:t xml:space="preserve">  = mjesec srpanj</w:t>
      </w:r>
    </w:p>
    <w:p w:rsidR="00A270E9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Dodatak na CEGHIX(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 w:rsidRPr="005B7324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za više preuzete </w:t>
      </w:r>
      <w:r w:rsidRPr="00EE5590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mjesečne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količine 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D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vp</w:t>
      </w:r>
      <w:proofErr w:type="spellEnd"/>
      <w:r w:rsidRPr="00A01ABD" w:rsidDel="00A3704A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određuje Ponuditelj u Troškovniku koji je sastavni dio Ponude (stupac 9).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52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Navedena cijena množi se sa </w:t>
      </w:r>
      <w:r w:rsidRPr="00EE5590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mjesečnom v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iše preuzetom količinom.</w:t>
      </w:r>
    </w:p>
    <w:p w:rsidR="00A270E9" w:rsidRPr="00A01ABD" w:rsidRDefault="00A270E9" w:rsidP="00A270E9">
      <w:pPr>
        <w:widowControl w:val="0"/>
        <w:tabs>
          <w:tab w:val="left" w:pos="428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</w:p>
    <w:p w:rsidR="00A270E9" w:rsidRPr="00A01ABD" w:rsidRDefault="00A270E9" w:rsidP="00A270E9">
      <w:pPr>
        <w:widowControl w:val="0"/>
        <w:tabs>
          <w:tab w:val="left" w:pos="452"/>
        </w:tabs>
        <w:ind w:right="20"/>
        <w:jc w:val="both"/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</w:pP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U slučaju više preuzetih </w:t>
      </w:r>
      <w:r w:rsidRPr="00EE5590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mjesečnih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količina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Ponuditelj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će obračun nadoknade zbog više preuzetih količina iskazati na posebnom računu s dospijećem plaćanja ne kraćim od 30 dana od dana izdavanja računa. Dan izdavanja računa smatra se 12. dan u mjesecu koji slijedi nakon isteka </w:t>
      </w:r>
      <w:r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mjeseca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u kojem su utvrđene više preuzete količine ili prvi radni dan ako isti pada na neradni dan. 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b/>
          <w:bCs/>
          <w:sz w:val="22"/>
          <w:szCs w:val="22"/>
        </w:rPr>
        <w:t xml:space="preserve">Mjesto isporuke: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Izlazi iz transportnog sustava RH koji su ulazi u distribucijski sustav po hidrauličkim cjelinama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931" w:type="dxa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4536"/>
      </w:tblGrid>
      <w:tr w:rsidR="00A270E9" w:rsidRPr="00A01ABD" w:rsidTr="00226C52">
        <w:trPr>
          <w:trHeight w:val="434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0E9" w:rsidRPr="00A01ABD" w:rsidRDefault="00A270E9" w:rsidP="00226C5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AB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Red. br.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0E9" w:rsidRPr="00A01ABD" w:rsidRDefault="00A270E9" w:rsidP="00226C5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AB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Naziv priključka</w:t>
            </w:r>
          </w:p>
        </w:tc>
      </w:tr>
      <w:tr w:rsidR="00A270E9" w:rsidRPr="00A01ABD" w:rsidTr="00226C52">
        <w:trPr>
          <w:trHeight w:val="312"/>
        </w:trPr>
        <w:tc>
          <w:tcPr>
            <w:tcW w:w="13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0E9" w:rsidRPr="00A01ABD" w:rsidRDefault="00A270E9" w:rsidP="00226C5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ABD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0E9" w:rsidRPr="00A01ABD" w:rsidRDefault="002D7502" w:rsidP="002D75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Pitomača – 3 bar - Pitomača</w:t>
            </w:r>
            <w:r w:rsidR="00A270E9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853</w:t>
            </w:r>
            <w:r w:rsidR="00A270E9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b/>
          <w:bCs/>
          <w:sz w:val="22"/>
          <w:szCs w:val="22"/>
        </w:rPr>
        <w:t xml:space="preserve">Rok početka i završetka izvršenja </w:t>
      </w:r>
      <w:r>
        <w:rPr>
          <w:rFonts w:ascii="Arial" w:hAnsi="Arial" w:cs="Arial"/>
          <w:b/>
          <w:bCs/>
          <w:sz w:val="22"/>
          <w:szCs w:val="22"/>
        </w:rPr>
        <w:t>Ugovor</w:t>
      </w:r>
      <w:r w:rsidRPr="00A01ABD">
        <w:rPr>
          <w:rFonts w:ascii="Arial" w:hAnsi="Arial" w:cs="Arial"/>
          <w:b/>
          <w:bCs/>
          <w:sz w:val="22"/>
          <w:szCs w:val="22"/>
        </w:rPr>
        <w:t>a:</w:t>
      </w:r>
      <w:r w:rsidRPr="00A01ABD">
        <w:rPr>
          <w:rFonts w:ascii="Arial" w:hAnsi="Arial" w:cs="Arial"/>
          <w:sz w:val="22"/>
          <w:szCs w:val="22"/>
        </w:rPr>
        <w:t xml:space="preserve">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EE5590">
        <w:rPr>
          <w:rFonts w:ascii="Arial" w:hAnsi="Arial" w:cs="Arial"/>
          <w:sz w:val="22"/>
          <w:szCs w:val="22"/>
        </w:rPr>
        <w:t>Naručitelj će zaključiti Ugovor u trajanju od 01.07.2022.g.</w:t>
      </w:r>
      <w:r>
        <w:rPr>
          <w:rFonts w:ascii="Arial" w:hAnsi="Arial" w:cs="Arial"/>
          <w:sz w:val="22"/>
          <w:szCs w:val="22"/>
        </w:rPr>
        <w:t xml:space="preserve"> </w:t>
      </w:r>
      <w:r w:rsidRPr="00EE559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31</w:t>
      </w:r>
      <w:r w:rsidRPr="00EE5590">
        <w:rPr>
          <w:rFonts w:ascii="Arial" w:hAnsi="Arial" w:cs="Arial"/>
          <w:sz w:val="22"/>
          <w:szCs w:val="22"/>
        </w:rPr>
        <w:t>.07.2022.</w:t>
      </w:r>
      <w:r>
        <w:rPr>
          <w:rFonts w:ascii="Arial" w:hAnsi="Arial" w:cs="Arial"/>
          <w:sz w:val="22"/>
          <w:szCs w:val="22"/>
        </w:rPr>
        <w:t xml:space="preserve">g.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pStyle w:val="Naslov1"/>
        <w:numPr>
          <w:ilvl w:val="0"/>
          <w:numId w:val="39"/>
        </w:numPr>
        <w:ind w:hanging="720"/>
        <w:jc w:val="left"/>
        <w:rPr>
          <w:rFonts w:cs="Arial"/>
          <w:szCs w:val="24"/>
          <w:lang w:val="hr-HR"/>
        </w:rPr>
      </w:pPr>
      <w:r w:rsidRPr="00A01ABD">
        <w:rPr>
          <w:rFonts w:cs="Arial"/>
          <w:szCs w:val="24"/>
          <w:lang w:val="hr-HR"/>
        </w:rPr>
        <w:lastRenderedPageBreak/>
        <w:t>KRITERIJ ZA ODABIR GOSPODARSKOG SUBJEKTA (Uvjeti sposobnosti)</w:t>
      </w:r>
    </w:p>
    <w:p w:rsidR="00A270E9" w:rsidRPr="00A01ABD" w:rsidRDefault="00A270E9" w:rsidP="00A270E9">
      <w:pPr>
        <w:pStyle w:val="Naslov1"/>
        <w:jc w:val="left"/>
        <w:rPr>
          <w:rFonts w:cs="Arial"/>
          <w:szCs w:val="24"/>
          <w:lang w:val="hr-HR"/>
        </w:rPr>
      </w:pPr>
    </w:p>
    <w:p w:rsidR="00A270E9" w:rsidRPr="00A01ABD" w:rsidRDefault="00A270E9" w:rsidP="00A270E9">
      <w:pPr>
        <w:numPr>
          <w:ilvl w:val="1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Ponudbeni list, Troškovnik</w:t>
      </w:r>
      <w:r w:rsidRPr="00A01ABD">
        <w:rPr>
          <w:rFonts w:ascii="Arial" w:hAnsi="Arial" w:cs="Arial"/>
          <w:sz w:val="22"/>
          <w:szCs w:val="22"/>
        </w:rPr>
        <w:t xml:space="preserve"> (ispunjen, ovjeren i potpisan od strane ovlaštene osobe ponuditelja)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numPr>
          <w:ilvl w:val="1"/>
          <w:numId w:val="3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Potvrda Porezne uprave o stanju duga ili istovrijedne isprave nadležnih tijela zemlje sjedišta ponuditelja - ne starija od 30 dana od dana objave poziva za dostavu ponude. Naručitelj će isključiti ponuditelja iz postupka nabave ako nije ispunio obvezu plaćanja dospjelih poreznih obveza i obveza za mirovinsko i zdravstveno osiguranje, osim ako je ponuditelju sukladno posebnim propisima odobrena odgoda plaćanja navedenih obveza.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bookmarkStart w:id="7" w:name="_Toc346535582"/>
      <w:bookmarkStart w:id="8" w:name="_Toc372266912"/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:rsidR="00A270E9" w:rsidRPr="00A01ABD" w:rsidRDefault="00A270E9" w:rsidP="00A270E9">
      <w:pPr>
        <w:pStyle w:val="Naslov2"/>
        <w:numPr>
          <w:ilvl w:val="0"/>
          <w:numId w:val="39"/>
        </w:numPr>
        <w:ind w:hanging="720"/>
        <w:jc w:val="left"/>
        <w:rPr>
          <w:rFonts w:cs="Arial"/>
          <w:sz w:val="24"/>
          <w:szCs w:val="24"/>
          <w:lang w:val="hr-HR" w:eastAsia="hr-HR"/>
        </w:rPr>
      </w:pPr>
      <w:r w:rsidRPr="00A01ABD">
        <w:rPr>
          <w:rFonts w:cs="Arial"/>
          <w:sz w:val="24"/>
          <w:szCs w:val="24"/>
          <w:lang w:val="hr-HR" w:eastAsia="hr-HR"/>
        </w:rPr>
        <w:t>PODACI O PONUDI</w:t>
      </w:r>
    </w:p>
    <w:p w:rsidR="00A270E9" w:rsidRPr="00A01ABD" w:rsidRDefault="00A270E9" w:rsidP="00A270E9">
      <w:pPr>
        <w:rPr>
          <w:rFonts w:ascii="Arial" w:hAnsi="Arial" w:cs="Arial"/>
          <w:b/>
        </w:rPr>
      </w:pPr>
    </w:p>
    <w:p w:rsidR="00A270E9" w:rsidRPr="00A01ABD" w:rsidRDefault="00A270E9" w:rsidP="00A270E9">
      <w:pPr>
        <w:numPr>
          <w:ilvl w:val="1"/>
          <w:numId w:val="39"/>
        </w:numPr>
        <w:ind w:hanging="1069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/>
          <w:sz w:val="22"/>
          <w:szCs w:val="22"/>
        </w:rPr>
        <w:t>Sadržaj ponude</w:t>
      </w:r>
    </w:p>
    <w:p w:rsidR="00A270E9" w:rsidRPr="00A01ABD" w:rsidRDefault="00A270E9" w:rsidP="00A270E9">
      <w:pPr>
        <w:rPr>
          <w:rFonts w:ascii="Arial" w:hAnsi="Arial" w:cs="Arial"/>
          <w:b/>
        </w:rPr>
      </w:pPr>
    </w:p>
    <w:p w:rsidR="00A270E9" w:rsidRPr="00A01ABD" w:rsidRDefault="00A270E9" w:rsidP="00A270E9">
      <w:pPr>
        <w:ind w:left="1080" w:hanging="1080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 xml:space="preserve">Ponuda sadrži: </w:t>
      </w:r>
    </w:p>
    <w:p w:rsidR="00A270E9" w:rsidRDefault="00A270E9" w:rsidP="00A270E9">
      <w:pPr>
        <w:numPr>
          <w:ilvl w:val="1"/>
          <w:numId w:val="4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Ponudbeni list (Prilog 2) </w:t>
      </w:r>
      <w:r w:rsidRPr="00A01ABD">
        <w:rPr>
          <w:rFonts w:ascii="Arial" w:hAnsi="Arial" w:cs="Arial"/>
          <w:bCs/>
          <w:sz w:val="22"/>
          <w:szCs w:val="22"/>
        </w:rPr>
        <w:t>(ispunjen, ovjeren i potpisan od strane ovlaštene osobe ponuditelja) s popisom priloženih dokumenata iz točke 3.1 i 3.2</w:t>
      </w:r>
      <w:r>
        <w:rPr>
          <w:rFonts w:ascii="Arial" w:hAnsi="Arial" w:cs="Arial"/>
          <w:bCs/>
          <w:sz w:val="22"/>
          <w:szCs w:val="22"/>
        </w:rPr>
        <w:t>.</w:t>
      </w:r>
    </w:p>
    <w:p w:rsidR="00A270E9" w:rsidRPr="00A01ABD" w:rsidRDefault="00A270E9" w:rsidP="00A270E9">
      <w:pPr>
        <w:numPr>
          <w:ilvl w:val="1"/>
          <w:numId w:val="4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Troškovnik </w:t>
      </w:r>
      <w:r w:rsidRPr="00A01ABD">
        <w:rPr>
          <w:rFonts w:ascii="Arial" w:hAnsi="Arial" w:cs="Arial"/>
          <w:bCs/>
          <w:sz w:val="22"/>
          <w:szCs w:val="22"/>
        </w:rPr>
        <w:t xml:space="preserve">(Prilog </w:t>
      </w:r>
      <w:r>
        <w:rPr>
          <w:rFonts w:ascii="Arial" w:hAnsi="Arial" w:cs="Arial"/>
          <w:bCs/>
          <w:sz w:val="22"/>
          <w:szCs w:val="22"/>
        </w:rPr>
        <w:t>1</w:t>
      </w:r>
      <w:r w:rsidRPr="00A01ABD">
        <w:rPr>
          <w:rFonts w:ascii="Arial" w:hAnsi="Arial" w:cs="Arial"/>
          <w:bCs/>
          <w:sz w:val="22"/>
          <w:szCs w:val="22"/>
        </w:rPr>
        <w:t xml:space="preserve">) (ispunjen, ovjeren i potpisan od strane ovlaštene osobe ponuditelja) </w:t>
      </w:r>
    </w:p>
    <w:p w:rsidR="00A270E9" w:rsidRPr="00A01ABD" w:rsidRDefault="00A270E9" w:rsidP="00A270E9">
      <w:pPr>
        <w:rPr>
          <w:rFonts w:ascii="Arial" w:hAnsi="Arial" w:cs="Arial"/>
          <w:bCs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>U skladu s uvjetima i zahtjevima iz dokumentacije o nabavi, u roku za dostavu ponuda, ponuditelj je obvezan prikupiti sve tražene dokumente te ih pohraniti u elektroničkom obliku, u elektroničkom izvorniku ili kao skenirane preslike, a Troškovnik priložiti zasebno na obrascu iz privitka dokumentacije.</w:t>
      </w: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 xml:space="preserve">Predaja ponude smatra se prilaganje svih dokumenta ponude i dostava putem jedne </w:t>
      </w:r>
      <w:r>
        <w:rPr>
          <w:rFonts w:ascii="Arial" w:hAnsi="Arial" w:cs="Arial"/>
          <w:bCs/>
          <w:sz w:val="22"/>
          <w:szCs w:val="22"/>
        </w:rPr>
        <w:t xml:space="preserve">(1) </w:t>
      </w:r>
      <w:r w:rsidRPr="00A01ABD">
        <w:rPr>
          <w:rFonts w:ascii="Arial" w:hAnsi="Arial" w:cs="Arial"/>
          <w:bCs/>
          <w:sz w:val="22"/>
          <w:szCs w:val="22"/>
        </w:rPr>
        <w:t xml:space="preserve">poruke </w:t>
      </w:r>
      <w:r w:rsidRPr="00A01ABD">
        <w:rPr>
          <w:rFonts w:ascii="Arial" w:hAnsi="Arial" w:cs="Arial"/>
          <w:bCs/>
          <w:sz w:val="22"/>
          <w:szCs w:val="22"/>
        </w:rPr>
        <w:br/>
        <w:t xml:space="preserve">e-pošte na domenu </w:t>
      </w:r>
      <w:hyperlink r:id="rId9" w:history="1">
        <w:r w:rsidR="008945E1" w:rsidRPr="00575F22">
          <w:rPr>
            <w:rStyle w:val="Hiperveza"/>
            <w:rFonts w:ascii="Arial" w:hAnsi="Arial" w:cs="Arial"/>
            <w:bCs/>
            <w:sz w:val="22"/>
            <w:szCs w:val="22"/>
          </w:rPr>
          <w:t>plinkom@plinkom.hr</w:t>
        </w:r>
      </w:hyperlink>
      <w:r w:rsidRPr="00A01ABD">
        <w:rPr>
          <w:rFonts w:ascii="Arial" w:hAnsi="Arial" w:cs="Arial"/>
          <w:bCs/>
          <w:sz w:val="22"/>
          <w:szCs w:val="22"/>
        </w:rPr>
        <w:t xml:space="preserve"> unutar zadanog roka za predaju ponude.</w:t>
      </w: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</w:p>
    <w:p w:rsidR="00A270E9" w:rsidRPr="00A01ABD" w:rsidRDefault="00A270E9" w:rsidP="00A270E9">
      <w:pPr>
        <w:rPr>
          <w:rFonts w:ascii="Arial" w:hAnsi="Arial" w:cs="Arial"/>
          <w:bCs/>
        </w:rPr>
      </w:pPr>
    </w:p>
    <w:p w:rsidR="00A270E9" w:rsidRPr="00A01ABD" w:rsidRDefault="00A270E9" w:rsidP="00A270E9">
      <w:pPr>
        <w:numPr>
          <w:ilvl w:val="1"/>
          <w:numId w:val="39"/>
        </w:numPr>
        <w:spacing w:after="240"/>
        <w:ind w:left="1072" w:hanging="1072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/>
          <w:sz w:val="22"/>
          <w:szCs w:val="22"/>
        </w:rPr>
        <w:t>Način određivanja vrijednosti ponude</w:t>
      </w: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 xml:space="preserve">Ukupna vrijednost ponude (stupac 8 Troškovnika) izražava se za cjelokupan predmet nabave odnosno za ukupnu vrijednost opskrbe plinom tijekom trajanja </w:t>
      </w:r>
      <w:r>
        <w:rPr>
          <w:rFonts w:ascii="Arial" w:hAnsi="Arial" w:cs="Arial"/>
          <w:bCs/>
          <w:sz w:val="22"/>
          <w:szCs w:val="22"/>
        </w:rPr>
        <w:t>Ugovor</w:t>
      </w:r>
      <w:r w:rsidRPr="00A01ABD">
        <w:rPr>
          <w:rFonts w:ascii="Arial" w:hAnsi="Arial" w:cs="Arial"/>
          <w:bCs/>
          <w:sz w:val="22"/>
          <w:szCs w:val="22"/>
        </w:rPr>
        <w:t>a.</w:t>
      </w: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>Ponuditelj izražava ukupnu vrijednost ponude u kunama.</w:t>
      </w:r>
    </w:p>
    <w:p w:rsidR="00A270E9" w:rsidRPr="00A01ABD" w:rsidRDefault="00A270E9" w:rsidP="00A270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>Ukupna vrijednost ponude piše se brojkama. U ukupnu vrijednost ponude bez PDV-a moraju biti uračunati svi troškovi i popusti.</w:t>
      </w:r>
    </w:p>
    <w:p w:rsidR="00A270E9" w:rsidRPr="00A01ABD" w:rsidRDefault="00A270E9" w:rsidP="00A270E9">
      <w:pPr>
        <w:numPr>
          <w:ilvl w:val="1"/>
          <w:numId w:val="39"/>
        </w:numPr>
        <w:spacing w:after="120"/>
        <w:ind w:left="1072" w:hanging="1072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/>
          <w:sz w:val="22"/>
          <w:szCs w:val="22"/>
        </w:rPr>
        <w:t>Kriterij odabira</w:t>
      </w:r>
    </w:p>
    <w:p w:rsidR="00A270E9" w:rsidRPr="00A01ABD" w:rsidRDefault="00A270E9" w:rsidP="00A270E9">
      <w:pPr>
        <w:rPr>
          <w:rFonts w:ascii="Arial" w:hAnsi="Arial" w:cs="Arial"/>
          <w:sz w:val="22"/>
          <w:szCs w:val="22"/>
        </w:rPr>
      </w:pPr>
      <w:bookmarkStart w:id="9" w:name="_Hlk101349429"/>
      <w:r w:rsidRPr="00A01ABD">
        <w:rPr>
          <w:rFonts w:ascii="Arial" w:hAnsi="Arial" w:cs="Arial"/>
          <w:sz w:val="22"/>
          <w:szCs w:val="22"/>
        </w:rPr>
        <w:t>Najniža ukupna vrijednost ponude.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 slučaju dvije ili više istih ukupnih vrijednosti ponuda nabave kriterij za odabir bit će najniža vrijednost dodatka na 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CEGHIX(</w:t>
      </w:r>
      <w:proofErr w:type="spellStart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ap</w:t>
      </w:r>
      <w:proofErr w:type="spellEnd"/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>)</w:t>
      </w:r>
      <w:r w:rsidRPr="00963343">
        <w:rPr>
          <w:rFonts w:ascii="Arial" w:eastAsia="Arial Narrow" w:hAnsi="Arial" w:cs="Arial"/>
          <w:spacing w:val="1"/>
          <w:sz w:val="22"/>
          <w:szCs w:val="22"/>
          <w:shd w:val="clear" w:color="auto" w:fill="FFFFFF"/>
          <w:vertAlign w:val="subscript"/>
        </w:rPr>
        <w:t>m</w:t>
      </w:r>
      <w:r w:rsidRPr="00A01ABD">
        <w:rPr>
          <w:rFonts w:ascii="Arial" w:eastAsia="Arial Narrow" w:hAnsi="Arial" w:cs="Arial"/>
          <w:spacing w:val="1"/>
          <w:sz w:val="22"/>
          <w:szCs w:val="22"/>
          <w:shd w:val="clear" w:color="auto" w:fill="FFFFFF"/>
        </w:rPr>
        <w:t xml:space="preserve"> </w:t>
      </w:r>
      <w:r w:rsidRPr="00A01ABD">
        <w:rPr>
          <w:rFonts w:ascii="Arial" w:hAnsi="Arial" w:cs="Arial"/>
          <w:sz w:val="22"/>
          <w:szCs w:val="22"/>
        </w:rPr>
        <w:t xml:space="preserve">za više preuzete količine </w:t>
      </w:r>
      <w:proofErr w:type="spellStart"/>
      <w:r w:rsidRPr="00A01ABD">
        <w:rPr>
          <w:rFonts w:ascii="Arial" w:hAnsi="Arial" w:cs="Arial"/>
          <w:sz w:val="22"/>
          <w:szCs w:val="22"/>
        </w:rPr>
        <w:t>D</w:t>
      </w:r>
      <w:r w:rsidRPr="00A01ABD">
        <w:rPr>
          <w:rFonts w:ascii="Arial" w:hAnsi="Arial" w:cs="Arial"/>
          <w:sz w:val="22"/>
          <w:szCs w:val="22"/>
          <w:vertAlign w:val="subscript"/>
        </w:rPr>
        <w:t>vp</w:t>
      </w:r>
      <w:proofErr w:type="spellEnd"/>
      <w:r w:rsidRPr="00A01ABD">
        <w:rPr>
          <w:rFonts w:ascii="Arial" w:hAnsi="Arial" w:cs="Arial"/>
          <w:sz w:val="22"/>
          <w:szCs w:val="22"/>
        </w:rPr>
        <w:t xml:space="preserve"> (stupac 9 Troškovnika).</w:t>
      </w:r>
    </w:p>
    <w:p w:rsidR="00A270E9" w:rsidRPr="00A01ABD" w:rsidRDefault="00A270E9" w:rsidP="00A270E9">
      <w:pPr>
        <w:rPr>
          <w:rFonts w:ascii="Arial" w:hAnsi="Arial" w:cs="Arial"/>
          <w:highlight w:val="cyan"/>
          <w:lang w:eastAsia="x-none"/>
        </w:rPr>
      </w:pPr>
      <w:bookmarkStart w:id="10" w:name="_Toc346535595"/>
      <w:bookmarkStart w:id="11" w:name="_Toc372266924"/>
      <w:bookmarkEnd w:id="9"/>
    </w:p>
    <w:p w:rsidR="00A270E9" w:rsidRPr="00A01ABD" w:rsidRDefault="00A270E9" w:rsidP="00A270E9">
      <w:pPr>
        <w:rPr>
          <w:rFonts w:ascii="Arial" w:hAnsi="Arial" w:cs="Arial"/>
          <w:lang w:eastAsia="x-none"/>
        </w:rPr>
      </w:pPr>
    </w:p>
    <w:p w:rsidR="00A270E9" w:rsidRPr="00A01ABD" w:rsidRDefault="00A270E9" w:rsidP="00A270E9">
      <w:pPr>
        <w:pStyle w:val="Naslov2"/>
        <w:jc w:val="left"/>
        <w:rPr>
          <w:rFonts w:cs="Arial"/>
          <w:sz w:val="22"/>
          <w:szCs w:val="22"/>
          <w:lang w:val="hr-HR"/>
        </w:rPr>
      </w:pPr>
      <w:bookmarkStart w:id="12" w:name="_Toc346535601"/>
      <w:bookmarkStart w:id="13" w:name="_Toc372266927"/>
      <w:bookmarkEnd w:id="10"/>
      <w:bookmarkEnd w:id="11"/>
      <w:r w:rsidRPr="00A01ABD">
        <w:rPr>
          <w:rFonts w:cs="Arial"/>
          <w:sz w:val="22"/>
          <w:szCs w:val="22"/>
          <w:lang w:val="hr-HR"/>
        </w:rPr>
        <w:t>4.</w:t>
      </w:r>
      <w:r>
        <w:rPr>
          <w:rFonts w:cs="Arial"/>
          <w:sz w:val="22"/>
          <w:szCs w:val="22"/>
          <w:lang w:val="hr-HR"/>
        </w:rPr>
        <w:t>4</w:t>
      </w:r>
      <w:r w:rsidRPr="00A01ABD">
        <w:rPr>
          <w:rFonts w:cs="Arial"/>
          <w:sz w:val="22"/>
          <w:szCs w:val="22"/>
          <w:lang w:val="hr-HR"/>
        </w:rPr>
        <w:tab/>
        <w:t xml:space="preserve">Datum, vrijeme i mjesto dostave ponude </w:t>
      </w:r>
      <w:bookmarkEnd w:id="12"/>
      <w:bookmarkEnd w:id="13"/>
    </w:p>
    <w:p w:rsidR="00A270E9" w:rsidRPr="00A01ABD" w:rsidRDefault="00A270E9" w:rsidP="00A270E9">
      <w:pPr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lastRenderedPageBreak/>
        <w:t>Rok za dostavu ponuda je</w:t>
      </w:r>
      <w:r>
        <w:rPr>
          <w:rFonts w:ascii="Arial" w:hAnsi="Arial" w:cs="Arial"/>
          <w:sz w:val="22"/>
          <w:szCs w:val="22"/>
        </w:rPr>
        <w:t xml:space="preserve"> </w:t>
      </w:r>
      <w:r w:rsidR="00AB5238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Pr="00712601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AB5238">
        <w:rPr>
          <w:rFonts w:ascii="Arial" w:hAnsi="Arial" w:cs="Arial"/>
          <w:b/>
          <w:bCs/>
          <w:sz w:val="22"/>
          <w:szCs w:val="22"/>
          <w:u w:val="single"/>
        </w:rPr>
        <w:t>6</w:t>
      </w:r>
      <w:bookmarkStart w:id="14" w:name="_GoBack"/>
      <w:bookmarkEnd w:id="14"/>
      <w:r w:rsidRPr="00712601">
        <w:rPr>
          <w:rFonts w:ascii="Arial" w:hAnsi="Arial" w:cs="Arial"/>
          <w:b/>
          <w:bCs/>
          <w:sz w:val="22"/>
          <w:szCs w:val="22"/>
          <w:u w:val="single"/>
        </w:rPr>
        <w:t>.2022. godine</w:t>
      </w:r>
      <w:r w:rsidRPr="00A01ABD">
        <w:rPr>
          <w:rFonts w:ascii="Arial" w:hAnsi="Arial" w:cs="Arial"/>
          <w:b/>
          <w:bCs/>
          <w:sz w:val="22"/>
          <w:szCs w:val="22"/>
        </w:rPr>
        <w:t xml:space="preserve">, do </w:t>
      </w:r>
      <w:r w:rsidR="002D3231"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Pr="00A01ABD">
        <w:rPr>
          <w:rFonts w:ascii="Arial" w:hAnsi="Arial" w:cs="Arial"/>
          <w:b/>
          <w:bCs/>
          <w:sz w:val="22"/>
          <w:szCs w:val="22"/>
          <w:u w:val="single"/>
        </w:rPr>
        <w:t>:00</w:t>
      </w:r>
      <w:r w:rsidRPr="00A01ABD">
        <w:rPr>
          <w:rFonts w:ascii="Arial" w:hAnsi="Arial" w:cs="Arial"/>
          <w:b/>
          <w:bCs/>
          <w:sz w:val="22"/>
          <w:szCs w:val="22"/>
        </w:rPr>
        <w:t xml:space="preserve"> sati</w:t>
      </w:r>
      <w:r w:rsidRPr="00A01ABD">
        <w:rPr>
          <w:rFonts w:ascii="Arial" w:hAnsi="Arial" w:cs="Arial"/>
          <w:sz w:val="22"/>
          <w:szCs w:val="22"/>
        </w:rPr>
        <w:t xml:space="preserve">, a mjesto dostave na e-adresu </w:t>
      </w:r>
      <w:hyperlink r:id="rId10" w:history="1">
        <w:r w:rsidR="004D0827" w:rsidRPr="00575F22">
          <w:rPr>
            <w:rStyle w:val="Hiperveza"/>
            <w:rFonts w:ascii="Arial" w:hAnsi="Arial" w:cs="Arial"/>
            <w:sz w:val="22"/>
            <w:szCs w:val="22"/>
          </w:rPr>
          <w:t>plinkom@plinkom.hr</w:t>
        </w:r>
      </w:hyperlink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b/>
          <w:sz w:val="22"/>
          <w:szCs w:val="22"/>
        </w:rPr>
      </w:pPr>
    </w:p>
    <w:p w:rsidR="00A270E9" w:rsidRPr="00A01ABD" w:rsidRDefault="00A270E9" w:rsidP="00A270E9">
      <w:pPr>
        <w:numPr>
          <w:ilvl w:val="0"/>
          <w:numId w:val="39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/>
          <w:sz w:val="22"/>
          <w:szCs w:val="22"/>
        </w:rPr>
        <w:t xml:space="preserve"> JAMSTVO UZ </w:t>
      </w:r>
      <w:r>
        <w:rPr>
          <w:rFonts w:ascii="Arial" w:hAnsi="Arial" w:cs="Arial"/>
          <w:b/>
          <w:sz w:val="22"/>
          <w:szCs w:val="22"/>
        </w:rPr>
        <w:t xml:space="preserve">UGOVOR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Default="00A270E9" w:rsidP="00A27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Odabrani </w:t>
      </w:r>
      <w:r w:rsidRPr="00A01ABD">
        <w:rPr>
          <w:rFonts w:ascii="Arial" w:hAnsi="Arial" w:cs="Arial"/>
          <w:sz w:val="22"/>
          <w:szCs w:val="22"/>
        </w:rPr>
        <w:t xml:space="preserve">Ponuditelj se obvezuje za uredno ispunjenje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 za slučaj povrede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ih obveza dostaviti </w:t>
      </w:r>
      <w:r>
        <w:rPr>
          <w:rFonts w:ascii="Arial" w:hAnsi="Arial" w:cs="Arial"/>
          <w:sz w:val="22"/>
          <w:szCs w:val="22"/>
        </w:rPr>
        <w:t>Naručitelju</w:t>
      </w:r>
      <w:r w:rsidRPr="00A01ABD">
        <w:rPr>
          <w:rFonts w:ascii="Arial" w:hAnsi="Arial" w:cs="Arial"/>
          <w:sz w:val="22"/>
          <w:szCs w:val="22"/>
        </w:rPr>
        <w:t xml:space="preserve"> jamstvo u obliku </w:t>
      </w:r>
      <w:r>
        <w:rPr>
          <w:rFonts w:ascii="Arial" w:hAnsi="Arial" w:cs="Arial"/>
          <w:sz w:val="22"/>
          <w:szCs w:val="22"/>
        </w:rPr>
        <w:t>zadužnice</w:t>
      </w:r>
      <w:r w:rsidRPr="00A01ABD">
        <w:rPr>
          <w:rFonts w:ascii="Arial" w:hAnsi="Arial" w:cs="Arial"/>
          <w:sz w:val="22"/>
          <w:szCs w:val="22"/>
        </w:rPr>
        <w:t xml:space="preserve">, u visini 10% od ukupne vrijednosti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 bez PDV-a ili položiti depozit na IBAN: </w:t>
      </w:r>
      <w:r w:rsidR="004D0827" w:rsidRPr="004D0827">
        <w:rPr>
          <w:rFonts w:ascii="Arial" w:hAnsi="Arial" w:cs="Arial"/>
          <w:sz w:val="22"/>
          <w:szCs w:val="22"/>
        </w:rPr>
        <w:t>HR5824020061100527034</w:t>
      </w:r>
      <w:r w:rsidRPr="00A01ABD">
        <w:rPr>
          <w:rFonts w:ascii="Arial" w:hAnsi="Arial" w:cs="Arial"/>
          <w:sz w:val="22"/>
          <w:szCs w:val="22"/>
        </w:rPr>
        <w:t xml:space="preserve"> u iznosu 10% od ukupne vrijednosti 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 bez PDV-a.</w:t>
      </w:r>
    </w:p>
    <w:p w:rsidR="00A270E9" w:rsidRPr="006627B1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6627B1">
        <w:rPr>
          <w:rFonts w:ascii="Arial" w:hAnsi="Arial" w:cs="Arial"/>
          <w:sz w:val="22"/>
          <w:szCs w:val="22"/>
        </w:rPr>
        <w:t xml:space="preserve">Zadužnica mora biti potvrđena kod javnog bilježnika i popunjena u skladu s Pravilnikom o obliku i sadržaju zadužnice.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Navedeno jamstvo </w:t>
      </w:r>
      <w:r>
        <w:rPr>
          <w:rFonts w:ascii="Arial" w:hAnsi="Arial" w:cs="Arial"/>
          <w:sz w:val="22"/>
          <w:szCs w:val="22"/>
        </w:rPr>
        <w:t xml:space="preserve">odabrani </w:t>
      </w:r>
      <w:r w:rsidRPr="00A01ABD">
        <w:rPr>
          <w:rFonts w:ascii="Arial" w:hAnsi="Arial" w:cs="Arial"/>
          <w:sz w:val="22"/>
          <w:szCs w:val="22"/>
        </w:rPr>
        <w:t xml:space="preserve">Ponuditelj je dužan dostaviti u roku 5 (pet) dana od dana obostranog potpisa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 na adresu: </w:t>
      </w:r>
      <w:r w:rsidR="002D3231">
        <w:rPr>
          <w:rFonts w:ascii="Arial" w:hAnsi="Arial" w:cs="Arial"/>
          <w:sz w:val="22"/>
          <w:szCs w:val="22"/>
        </w:rPr>
        <w:t>PLIN</w:t>
      </w:r>
      <w:r w:rsidR="0027591C">
        <w:rPr>
          <w:rFonts w:ascii="Arial" w:hAnsi="Arial" w:cs="Arial"/>
          <w:sz w:val="22"/>
          <w:szCs w:val="22"/>
        </w:rPr>
        <w:t>KOM</w:t>
      </w:r>
      <w:r w:rsidRPr="00A01ABD">
        <w:rPr>
          <w:rFonts w:ascii="Arial" w:hAnsi="Arial" w:cs="Arial"/>
          <w:sz w:val="22"/>
          <w:szCs w:val="22"/>
        </w:rPr>
        <w:t xml:space="preserve"> d.o.o., </w:t>
      </w:r>
      <w:r w:rsidR="0027591C">
        <w:rPr>
          <w:rFonts w:ascii="Arial" w:hAnsi="Arial" w:cs="Arial"/>
          <w:sz w:val="22"/>
          <w:szCs w:val="22"/>
        </w:rPr>
        <w:t>Pitomača</w:t>
      </w:r>
      <w:r w:rsidRPr="00A01ABD">
        <w:rPr>
          <w:rFonts w:ascii="Arial" w:hAnsi="Arial" w:cs="Arial"/>
          <w:sz w:val="22"/>
          <w:szCs w:val="22"/>
        </w:rPr>
        <w:t xml:space="preserve">, </w:t>
      </w:r>
      <w:r w:rsidR="0027591C">
        <w:rPr>
          <w:rFonts w:ascii="Arial" w:hAnsi="Arial" w:cs="Arial"/>
          <w:sz w:val="22"/>
          <w:szCs w:val="22"/>
        </w:rPr>
        <w:t>Vinogradska 41</w:t>
      </w:r>
      <w:r w:rsidRPr="00A01ABD">
        <w:rPr>
          <w:rFonts w:ascii="Arial" w:hAnsi="Arial" w:cs="Arial"/>
          <w:sz w:val="22"/>
          <w:szCs w:val="22"/>
        </w:rPr>
        <w:t>, odnosno u navedenom roku položiti depozit.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Ne dostavi li </w:t>
      </w:r>
      <w:r>
        <w:rPr>
          <w:rFonts w:ascii="Arial" w:hAnsi="Arial" w:cs="Arial"/>
          <w:sz w:val="22"/>
          <w:szCs w:val="22"/>
        </w:rPr>
        <w:t xml:space="preserve">odabrani </w:t>
      </w:r>
      <w:r w:rsidRPr="00A01ABD">
        <w:rPr>
          <w:rFonts w:ascii="Arial" w:hAnsi="Arial" w:cs="Arial"/>
          <w:sz w:val="22"/>
          <w:szCs w:val="22"/>
        </w:rPr>
        <w:t xml:space="preserve">Ponuditelj Naručitelju jamstvo odnosno ne položi depozit u roku iz stavka 2. ovog članka, Naručitelj ima pravo raskinuti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, u kojem će se slučaju smatrati da je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 raskinut krivnjom </w:t>
      </w:r>
      <w:r>
        <w:rPr>
          <w:rFonts w:ascii="Arial" w:hAnsi="Arial" w:cs="Arial"/>
          <w:sz w:val="22"/>
          <w:szCs w:val="22"/>
        </w:rPr>
        <w:t xml:space="preserve">odabranog </w:t>
      </w:r>
      <w:r w:rsidRPr="00A01ABD">
        <w:rPr>
          <w:rFonts w:ascii="Arial" w:hAnsi="Arial" w:cs="Arial"/>
          <w:sz w:val="22"/>
          <w:szCs w:val="22"/>
        </w:rPr>
        <w:t xml:space="preserve">Ponuditelja, te će Naručitelj imati pravo zahtijevati od </w:t>
      </w:r>
      <w:r>
        <w:rPr>
          <w:rFonts w:ascii="Arial" w:hAnsi="Arial" w:cs="Arial"/>
          <w:sz w:val="22"/>
          <w:szCs w:val="22"/>
        </w:rPr>
        <w:t xml:space="preserve">odabranog </w:t>
      </w:r>
      <w:r w:rsidRPr="00A01ABD">
        <w:rPr>
          <w:rFonts w:ascii="Arial" w:hAnsi="Arial" w:cs="Arial"/>
          <w:sz w:val="22"/>
          <w:szCs w:val="22"/>
        </w:rPr>
        <w:t>Ponuditelja naknadu štete.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Rok valjanosti jamstva je 30 (trideset) dana duže od isteka roka izvršenja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Jamstvo za uredno ispunjenje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 mora glasiti na Naručitelja.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 slučaju izmjene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 za vrijeme njegova trajanja u smislu sklapanja Dodatka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u radi produženja roka izvršenja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 xml:space="preserve">odabrani </w:t>
      </w:r>
      <w:r w:rsidRPr="00A01ABD">
        <w:rPr>
          <w:rFonts w:ascii="Arial" w:hAnsi="Arial" w:cs="Arial"/>
          <w:sz w:val="22"/>
          <w:szCs w:val="22"/>
        </w:rPr>
        <w:t xml:space="preserve">Ponuditelj se obvezuje dostaviti novo jamstvo ili produženje istog u roku 5 (pet) dana od dana obostranog potpisa Dodatka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u.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Jamstvo za uredno ispunjenje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 Naručitelj ima pravo naplatiti u sljedećim slučajevima: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a)</w:t>
      </w:r>
      <w:r w:rsidRPr="00A01ABD">
        <w:rPr>
          <w:rFonts w:ascii="Arial" w:hAnsi="Arial" w:cs="Arial"/>
          <w:sz w:val="22"/>
          <w:szCs w:val="22"/>
        </w:rPr>
        <w:tab/>
        <w:t xml:space="preserve">u slučaju svake povrede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e obveze od strane </w:t>
      </w:r>
      <w:r>
        <w:rPr>
          <w:rFonts w:ascii="Arial" w:hAnsi="Arial" w:cs="Arial"/>
          <w:sz w:val="22"/>
          <w:szCs w:val="22"/>
        </w:rPr>
        <w:t xml:space="preserve">odabranog </w:t>
      </w:r>
      <w:r w:rsidRPr="00A01ABD">
        <w:rPr>
          <w:rFonts w:ascii="Arial" w:hAnsi="Arial" w:cs="Arial"/>
          <w:sz w:val="22"/>
          <w:szCs w:val="22"/>
        </w:rPr>
        <w:t xml:space="preserve">Ponuditelja zbog koje </w:t>
      </w:r>
      <w:r>
        <w:rPr>
          <w:rFonts w:ascii="Arial" w:hAnsi="Arial" w:cs="Arial"/>
          <w:sz w:val="22"/>
          <w:szCs w:val="22"/>
        </w:rPr>
        <w:t>Naručitelju</w:t>
      </w:r>
      <w:r w:rsidRPr="00A01ABD">
        <w:rPr>
          <w:rFonts w:ascii="Arial" w:hAnsi="Arial" w:cs="Arial"/>
          <w:sz w:val="22"/>
          <w:szCs w:val="22"/>
        </w:rPr>
        <w:t xml:space="preserve"> nastane šteta i to u iznosu visine nastale štete sa pripadajućim kamatama,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b)</w:t>
      </w:r>
      <w:r w:rsidRPr="00A01ABD">
        <w:rPr>
          <w:rFonts w:ascii="Arial" w:hAnsi="Arial" w:cs="Arial"/>
          <w:sz w:val="22"/>
          <w:szCs w:val="22"/>
        </w:rPr>
        <w:tab/>
        <w:t>u slučaju neproduljena jamstva sukladno odredbama ovog članka i to u punom iznosu istog jamstva, bez obveze vraćanja naplaćenog iznosa,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c)</w:t>
      </w:r>
      <w:r w:rsidRPr="00A01ABD">
        <w:rPr>
          <w:rFonts w:ascii="Arial" w:hAnsi="Arial" w:cs="Arial"/>
          <w:sz w:val="22"/>
          <w:szCs w:val="22"/>
        </w:rPr>
        <w:tab/>
        <w:t xml:space="preserve">radi naplate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e kazne zbog zakašnjenja </w:t>
      </w:r>
      <w:r>
        <w:rPr>
          <w:rFonts w:ascii="Arial" w:hAnsi="Arial" w:cs="Arial"/>
          <w:sz w:val="22"/>
          <w:szCs w:val="22"/>
        </w:rPr>
        <w:t xml:space="preserve">odabranog </w:t>
      </w:r>
      <w:r w:rsidRPr="00A01ABD">
        <w:rPr>
          <w:rFonts w:ascii="Arial" w:hAnsi="Arial" w:cs="Arial"/>
          <w:sz w:val="22"/>
          <w:szCs w:val="22"/>
        </w:rPr>
        <w:t xml:space="preserve">Ponuditelja u ispunjenju svojih obveza koje čine predmet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a, i to u visini </w:t>
      </w:r>
      <w:r>
        <w:rPr>
          <w:rFonts w:ascii="Arial" w:hAnsi="Arial" w:cs="Arial"/>
          <w:sz w:val="22"/>
          <w:szCs w:val="22"/>
        </w:rPr>
        <w:t>ugovorne</w:t>
      </w:r>
      <w:r w:rsidRPr="00A01ABD">
        <w:rPr>
          <w:rFonts w:ascii="Arial" w:hAnsi="Arial" w:cs="Arial"/>
          <w:sz w:val="22"/>
          <w:szCs w:val="22"/>
        </w:rPr>
        <w:t xml:space="preserve"> kazne,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d)</w:t>
      </w:r>
      <w:r w:rsidRPr="00A01ABD">
        <w:rPr>
          <w:rFonts w:ascii="Arial" w:hAnsi="Arial" w:cs="Arial"/>
          <w:sz w:val="22"/>
          <w:szCs w:val="22"/>
        </w:rPr>
        <w:tab/>
        <w:t xml:space="preserve">u slučaju povrede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a od strane </w:t>
      </w:r>
      <w:r>
        <w:rPr>
          <w:rFonts w:ascii="Arial" w:hAnsi="Arial" w:cs="Arial"/>
          <w:sz w:val="22"/>
          <w:szCs w:val="22"/>
        </w:rPr>
        <w:t xml:space="preserve">odabranog </w:t>
      </w:r>
      <w:r w:rsidRPr="00A01ABD">
        <w:rPr>
          <w:rFonts w:ascii="Arial" w:hAnsi="Arial" w:cs="Arial"/>
          <w:sz w:val="22"/>
          <w:szCs w:val="22"/>
        </w:rPr>
        <w:t xml:space="preserve">Ponuditelja zbog koje Naručitelj ima pravo raskinuti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, kao i u slučaju raskida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a, i to u punom iznosu jamstva,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e)</w:t>
      </w:r>
      <w:r w:rsidRPr="00A01ABD">
        <w:rPr>
          <w:rFonts w:ascii="Arial" w:hAnsi="Arial" w:cs="Arial"/>
          <w:sz w:val="22"/>
          <w:szCs w:val="22"/>
        </w:rPr>
        <w:tab/>
        <w:t xml:space="preserve">u drugim slučajevima, radi naplate potraživanja koja Naručitelj ima prema </w:t>
      </w:r>
      <w:r>
        <w:rPr>
          <w:rFonts w:ascii="Arial" w:hAnsi="Arial" w:cs="Arial"/>
          <w:sz w:val="22"/>
          <w:szCs w:val="22"/>
        </w:rPr>
        <w:t xml:space="preserve">odabranom </w:t>
      </w:r>
      <w:r w:rsidRPr="00A01ABD">
        <w:rPr>
          <w:rFonts w:ascii="Arial" w:hAnsi="Arial" w:cs="Arial"/>
          <w:sz w:val="22"/>
          <w:szCs w:val="22"/>
        </w:rPr>
        <w:t xml:space="preserve">Ponuditelju u svezi sa 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om do visine iznosa koje Naručitelj potražuje,</w:t>
      </w:r>
    </w:p>
    <w:p w:rsidR="00A270E9" w:rsidRPr="00A01ABD" w:rsidRDefault="00A270E9" w:rsidP="00A270E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f)</w:t>
      </w:r>
      <w:r w:rsidRPr="00A01ABD">
        <w:rPr>
          <w:rFonts w:ascii="Arial" w:hAnsi="Arial" w:cs="Arial"/>
          <w:sz w:val="22"/>
          <w:szCs w:val="22"/>
        </w:rPr>
        <w:tab/>
        <w:t xml:space="preserve">uvijek kada je to predviđeno ostalim odredbama 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b/>
          <w:bCs/>
          <w:sz w:val="22"/>
          <w:lang w:eastAsia="x-none"/>
        </w:rPr>
      </w:pPr>
      <w:r w:rsidRPr="00A01ABD">
        <w:rPr>
          <w:rFonts w:ascii="Arial" w:hAnsi="Arial" w:cs="Arial"/>
          <w:sz w:val="22"/>
          <w:lang w:eastAsia="x-none"/>
        </w:rPr>
        <w:t>5.1</w:t>
      </w:r>
      <w:r w:rsidRPr="00A01ABD">
        <w:rPr>
          <w:rFonts w:ascii="Arial" w:hAnsi="Arial" w:cs="Arial"/>
          <w:sz w:val="22"/>
          <w:lang w:eastAsia="x-none"/>
        </w:rPr>
        <w:tab/>
      </w:r>
      <w:r w:rsidRPr="00A01ABD">
        <w:rPr>
          <w:rFonts w:ascii="Arial" w:hAnsi="Arial" w:cs="Arial"/>
          <w:b/>
          <w:bCs/>
          <w:sz w:val="22"/>
          <w:lang w:eastAsia="x-none"/>
        </w:rPr>
        <w:t xml:space="preserve">Klauzula o neispunjenju </w:t>
      </w:r>
      <w:r>
        <w:rPr>
          <w:rFonts w:ascii="Arial" w:hAnsi="Arial" w:cs="Arial"/>
          <w:b/>
          <w:bCs/>
          <w:sz w:val="22"/>
          <w:lang w:eastAsia="x-none"/>
        </w:rPr>
        <w:t>ugovorn</w:t>
      </w:r>
      <w:r w:rsidRPr="00A01ABD">
        <w:rPr>
          <w:rFonts w:ascii="Arial" w:hAnsi="Arial" w:cs="Arial"/>
          <w:b/>
          <w:bCs/>
          <w:sz w:val="22"/>
          <w:lang w:eastAsia="x-none"/>
        </w:rPr>
        <w:t>e obveze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  <w:r w:rsidRPr="00A01ABD">
        <w:rPr>
          <w:rFonts w:ascii="Arial" w:hAnsi="Arial" w:cs="Arial"/>
          <w:sz w:val="22"/>
          <w:lang w:eastAsia="x-none"/>
        </w:rPr>
        <w:t xml:space="preserve">Ukoliko </w:t>
      </w:r>
      <w:r>
        <w:rPr>
          <w:rFonts w:ascii="Arial" w:hAnsi="Arial" w:cs="Arial"/>
          <w:sz w:val="22"/>
          <w:lang w:eastAsia="x-none"/>
        </w:rPr>
        <w:t>odabrani Ponuditelj</w:t>
      </w:r>
      <w:r w:rsidRPr="00A01ABD">
        <w:rPr>
          <w:rFonts w:ascii="Arial" w:hAnsi="Arial" w:cs="Arial"/>
          <w:sz w:val="22"/>
          <w:lang w:eastAsia="x-none"/>
        </w:rPr>
        <w:t xml:space="preserve"> bilo koji plinski dan ne uspije isporučiti nominiranu dnevnu količinu iz bilo kojeg razloga osim više sile isti je dužan naknaditi štetu </w:t>
      </w:r>
      <w:r>
        <w:rPr>
          <w:rFonts w:ascii="Arial" w:hAnsi="Arial" w:cs="Arial"/>
          <w:sz w:val="22"/>
          <w:lang w:eastAsia="x-none"/>
        </w:rPr>
        <w:t>Naručitelju</w:t>
      </w:r>
      <w:r w:rsidRPr="00A01ABD">
        <w:rPr>
          <w:rFonts w:ascii="Arial" w:hAnsi="Arial" w:cs="Arial"/>
          <w:sz w:val="22"/>
          <w:lang w:eastAsia="x-none"/>
        </w:rPr>
        <w:t xml:space="preserve"> koju je prouzročio nedostatnom isporukom, i to: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ind w:left="709" w:hanging="283"/>
        <w:jc w:val="both"/>
        <w:rPr>
          <w:rFonts w:ascii="Arial" w:hAnsi="Arial" w:cs="Arial"/>
          <w:sz w:val="22"/>
          <w:lang w:eastAsia="x-none"/>
        </w:rPr>
      </w:pPr>
      <w:r w:rsidRPr="00A01ABD">
        <w:rPr>
          <w:rFonts w:ascii="Arial" w:hAnsi="Arial" w:cs="Arial"/>
          <w:sz w:val="22"/>
          <w:lang w:eastAsia="x-none"/>
        </w:rPr>
        <w:t>a)</w:t>
      </w:r>
      <w:r w:rsidRPr="00A01ABD">
        <w:rPr>
          <w:rFonts w:ascii="Arial" w:hAnsi="Arial" w:cs="Arial"/>
          <w:sz w:val="22"/>
          <w:lang w:eastAsia="x-none"/>
        </w:rPr>
        <w:tab/>
        <w:t xml:space="preserve">razliku između cijene neisporučenih količina plina predviđene </w:t>
      </w:r>
      <w:r>
        <w:rPr>
          <w:rFonts w:ascii="Arial" w:hAnsi="Arial" w:cs="Arial"/>
          <w:sz w:val="22"/>
          <w:lang w:eastAsia="x-none"/>
        </w:rPr>
        <w:t>Ugovor</w:t>
      </w:r>
      <w:r w:rsidRPr="00A01ABD">
        <w:rPr>
          <w:rFonts w:ascii="Arial" w:hAnsi="Arial" w:cs="Arial"/>
          <w:sz w:val="22"/>
          <w:lang w:eastAsia="x-none"/>
        </w:rPr>
        <w:t xml:space="preserve">om i cijene zamjenskog plina iste količine koju je </w:t>
      </w:r>
      <w:r>
        <w:rPr>
          <w:rFonts w:ascii="Arial" w:hAnsi="Arial" w:cs="Arial"/>
          <w:sz w:val="22"/>
          <w:lang w:eastAsia="x-none"/>
        </w:rPr>
        <w:t>Naručitelj</w:t>
      </w:r>
      <w:r w:rsidRPr="00A01ABD">
        <w:rPr>
          <w:rFonts w:ascii="Arial" w:hAnsi="Arial" w:cs="Arial"/>
          <w:sz w:val="22"/>
          <w:lang w:eastAsia="x-none"/>
        </w:rPr>
        <w:t xml:space="preserve"> kupio na tržištu radi pokrića neisporučenih količina, uvećanu za bilo koje dodatne troškove koje </w:t>
      </w:r>
      <w:r>
        <w:rPr>
          <w:rFonts w:ascii="Arial" w:hAnsi="Arial" w:cs="Arial"/>
          <w:sz w:val="22"/>
          <w:lang w:eastAsia="x-none"/>
        </w:rPr>
        <w:t>Naručitelj</w:t>
      </w:r>
      <w:r w:rsidRPr="00A01ABD">
        <w:rPr>
          <w:rFonts w:ascii="Arial" w:hAnsi="Arial" w:cs="Arial"/>
          <w:sz w:val="22"/>
          <w:lang w:eastAsia="x-none"/>
        </w:rPr>
        <w:t xml:space="preserve"> mora </w:t>
      </w:r>
      <w:r w:rsidRPr="00A01ABD">
        <w:rPr>
          <w:rFonts w:ascii="Arial" w:hAnsi="Arial" w:cs="Arial"/>
          <w:sz w:val="22"/>
          <w:lang w:eastAsia="x-none"/>
        </w:rPr>
        <w:lastRenderedPageBreak/>
        <w:t xml:space="preserve">podmiriti, odnosno iznos naknade štete koja je prouzročena </w:t>
      </w:r>
      <w:r>
        <w:rPr>
          <w:rFonts w:ascii="Arial" w:hAnsi="Arial" w:cs="Arial"/>
          <w:sz w:val="22"/>
          <w:lang w:eastAsia="x-none"/>
        </w:rPr>
        <w:t>Naručitelju</w:t>
      </w:r>
      <w:r w:rsidRPr="00A01ABD">
        <w:rPr>
          <w:rFonts w:ascii="Arial" w:hAnsi="Arial" w:cs="Arial"/>
          <w:sz w:val="22"/>
          <w:lang w:eastAsia="x-none"/>
        </w:rPr>
        <w:t xml:space="preserve"> zbog ne</w:t>
      </w:r>
      <w:r>
        <w:rPr>
          <w:rFonts w:ascii="Arial" w:hAnsi="Arial" w:cs="Arial"/>
          <w:sz w:val="22"/>
          <w:lang w:eastAsia="x-none"/>
        </w:rPr>
        <w:t xml:space="preserve"> </w:t>
      </w:r>
      <w:r w:rsidRPr="00A01ABD">
        <w:rPr>
          <w:rFonts w:ascii="Arial" w:hAnsi="Arial" w:cs="Arial"/>
          <w:sz w:val="22"/>
          <w:lang w:eastAsia="x-none"/>
        </w:rPr>
        <w:t xml:space="preserve">isporuke </w:t>
      </w:r>
      <w:r>
        <w:rPr>
          <w:rFonts w:ascii="Arial" w:hAnsi="Arial" w:cs="Arial"/>
          <w:sz w:val="22"/>
          <w:lang w:eastAsia="x-none"/>
        </w:rPr>
        <w:t>Ponuditelj</w:t>
      </w:r>
      <w:r w:rsidRPr="00A01ABD">
        <w:rPr>
          <w:rFonts w:ascii="Arial" w:hAnsi="Arial" w:cs="Arial"/>
          <w:sz w:val="22"/>
          <w:lang w:eastAsia="x-none"/>
        </w:rPr>
        <w:t>a ili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ind w:left="709" w:hanging="283"/>
        <w:jc w:val="both"/>
        <w:rPr>
          <w:rFonts w:ascii="Arial" w:hAnsi="Arial" w:cs="Arial"/>
          <w:sz w:val="22"/>
          <w:lang w:eastAsia="x-none"/>
        </w:rPr>
      </w:pPr>
      <w:r w:rsidRPr="00A01ABD">
        <w:rPr>
          <w:rFonts w:ascii="Arial" w:hAnsi="Arial" w:cs="Arial"/>
          <w:sz w:val="22"/>
          <w:lang w:eastAsia="x-none"/>
        </w:rPr>
        <w:t>b)</w:t>
      </w:r>
      <w:r w:rsidRPr="00A01ABD">
        <w:rPr>
          <w:rFonts w:ascii="Arial" w:hAnsi="Arial" w:cs="Arial"/>
          <w:sz w:val="22"/>
          <w:lang w:eastAsia="x-none"/>
        </w:rPr>
        <w:tab/>
        <w:t xml:space="preserve">naknadu cjelokupne štete ako </w:t>
      </w:r>
      <w:r>
        <w:rPr>
          <w:rFonts w:ascii="Arial" w:hAnsi="Arial" w:cs="Arial"/>
          <w:sz w:val="22"/>
          <w:lang w:eastAsia="x-none"/>
        </w:rPr>
        <w:t>Naručitelj</w:t>
      </w:r>
      <w:r w:rsidRPr="00A01ABD">
        <w:rPr>
          <w:rFonts w:ascii="Arial" w:hAnsi="Arial" w:cs="Arial"/>
          <w:sz w:val="22"/>
          <w:lang w:eastAsia="x-none"/>
        </w:rPr>
        <w:t xml:space="preserve"> ne kupi zamjenski plin radi pokrića neisporučenih količina iz bilo kojeg razloga.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>Naručitelj</w:t>
      </w:r>
      <w:r w:rsidRPr="00A01ABD">
        <w:rPr>
          <w:rFonts w:ascii="Arial" w:hAnsi="Arial" w:cs="Arial"/>
          <w:sz w:val="22"/>
          <w:lang w:eastAsia="x-none"/>
        </w:rPr>
        <w:t xml:space="preserve"> nije obvezan nabaviti zamjenski plin umjesto neisporučenih količina plina te se naknada štete koju je </w:t>
      </w:r>
      <w:r>
        <w:rPr>
          <w:rFonts w:ascii="Arial" w:hAnsi="Arial" w:cs="Arial"/>
          <w:sz w:val="22"/>
          <w:lang w:eastAsia="x-none"/>
        </w:rPr>
        <w:t>Ponuditelj</w:t>
      </w:r>
      <w:r w:rsidRPr="00A01ABD">
        <w:rPr>
          <w:rFonts w:ascii="Arial" w:hAnsi="Arial" w:cs="Arial"/>
          <w:sz w:val="22"/>
          <w:lang w:eastAsia="x-none"/>
        </w:rPr>
        <w:t xml:space="preserve"> dužan platiti </w:t>
      </w:r>
      <w:r>
        <w:rPr>
          <w:rFonts w:ascii="Arial" w:hAnsi="Arial" w:cs="Arial"/>
          <w:sz w:val="22"/>
          <w:lang w:eastAsia="x-none"/>
        </w:rPr>
        <w:t>Naručitelju</w:t>
      </w:r>
      <w:r w:rsidRPr="00A01ABD">
        <w:rPr>
          <w:rFonts w:ascii="Arial" w:hAnsi="Arial" w:cs="Arial"/>
          <w:sz w:val="22"/>
          <w:lang w:eastAsia="x-none"/>
        </w:rPr>
        <w:t xml:space="preserve"> neće moći izbjeći ili umanjiti zbog eventualnog propusta </w:t>
      </w:r>
      <w:r>
        <w:rPr>
          <w:rFonts w:ascii="Arial" w:hAnsi="Arial" w:cs="Arial"/>
          <w:sz w:val="22"/>
          <w:lang w:eastAsia="x-none"/>
        </w:rPr>
        <w:t>Naručitelja</w:t>
      </w:r>
      <w:r w:rsidRPr="00A01ABD">
        <w:rPr>
          <w:rFonts w:ascii="Arial" w:hAnsi="Arial" w:cs="Arial"/>
          <w:sz w:val="22"/>
          <w:lang w:eastAsia="x-none"/>
        </w:rPr>
        <w:t xml:space="preserve"> da nabavi zamjenski plin.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lang w:eastAsia="x-none"/>
        </w:rPr>
      </w:pPr>
    </w:p>
    <w:p w:rsidR="00A270E9" w:rsidRPr="00A01ABD" w:rsidRDefault="00A270E9" w:rsidP="00A270E9">
      <w:pPr>
        <w:numPr>
          <w:ilvl w:val="0"/>
          <w:numId w:val="39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UGOVORN</w:t>
      </w:r>
      <w:r w:rsidRPr="00A01ABD">
        <w:rPr>
          <w:rFonts w:ascii="Arial" w:hAnsi="Arial" w:cs="Arial"/>
          <w:b/>
          <w:sz w:val="22"/>
          <w:szCs w:val="22"/>
        </w:rPr>
        <w:t>A KAZNA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Ako odabrani Ponuditelj ne izvrši obveze u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enim rokovima, dužan je </w:t>
      </w:r>
      <w:r>
        <w:rPr>
          <w:rFonts w:ascii="Arial" w:hAnsi="Arial" w:cs="Arial"/>
          <w:sz w:val="22"/>
          <w:szCs w:val="22"/>
        </w:rPr>
        <w:t>Naručitelju</w:t>
      </w:r>
      <w:r w:rsidRPr="00A01ABD">
        <w:rPr>
          <w:rFonts w:ascii="Arial" w:hAnsi="Arial" w:cs="Arial"/>
          <w:sz w:val="22"/>
          <w:szCs w:val="22"/>
        </w:rPr>
        <w:t xml:space="preserve"> platiti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u kaznu u iznosu 0,5% od ukupno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ene vrijednosti za svaki dan neopravdanog zakašnjenja te nadoknaditi </w:t>
      </w:r>
      <w:r>
        <w:rPr>
          <w:rFonts w:ascii="Arial" w:hAnsi="Arial" w:cs="Arial"/>
          <w:sz w:val="22"/>
          <w:szCs w:val="22"/>
        </w:rPr>
        <w:t>Naručitelju</w:t>
      </w:r>
      <w:r w:rsidRPr="00A01ABD">
        <w:rPr>
          <w:rFonts w:ascii="Arial" w:hAnsi="Arial" w:cs="Arial"/>
          <w:sz w:val="22"/>
          <w:szCs w:val="22"/>
        </w:rPr>
        <w:t xml:space="preserve"> sve eventualne troškove i štetu koja bi iz toga proizašla.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Ukupni iznos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e kazne ne može biti veći od 10% od ukupno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ene vrijednosti.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Naručitelj</w:t>
      </w:r>
      <w:r w:rsidRPr="00A01ABD">
        <w:rPr>
          <w:rFonts w:ascii="Arial" w:hAnsi="Arial" w:cs="Arial"/>
          <w:sz w:val="22"/>
          <w:szCs w:val="22"/>
        </w:rPr>
        <w:t xml:space="preserve"> ima pravo na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u kaznu i u slučaju da odabrani Ponuditelj ne ispuni bilo koju svoju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>u obvezu ili ako je neuredno ispuni.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Naručitelj</w:t>
      </w:r>
      <w:r w:rsidRPr="00A01ABD">
        <w:rPr>
          <w:rFonts w:ascii="Arial" w:hAnsi="Arial" w:cs="Arial"/>
          <w:sz w:val="22"/>
          <w:szCs w:val="22"/>
        </w:rPr>
        <w:t xml:space="preserve"> zadržava pravo na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u kaznu i u slučaju primitka zakašnjelog ispunjenja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>e obveze.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Naručitelj</w:t>
      </w:r>
      <w:r w:rsidRPr="00A01ABD">
        <w:rPr>
          <w:rFonts w:ascii="Arial" w:hAnsi="Arial" w:cs="Arial"/>
          <w:sz w:val="22"/>
          <w:szCs w:val="22"/>
        </w:rPr>
        <w:t xml:space="preserve"> ima pravo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u kaznu ustegnuti prilikom isplate iznosa koji je obvezan podmiriti odabranom Ponuditelju temeljem računa ili naplatiti iz jamstva.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Pravo na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u kaznu ne umanjuje niti isključuje pravo </w:t>
      </w:r>
      <w:r>
        <w:rPr>
          <w:rFonts w:ascii="Arial" w:hAnsi="Arial" w:cs="Arial"/>
          <w:sz w:val="22"/>
          <w:szCs w:val="22"/>
        </w:rPr>
        <w:t>Naručitelja</w:t>
      </w:r>
      <w:r w:rsidRPr="00A01ABD">
        <w:rPr>
          <w:rFonts w:ascii="Arial" w:hAnsi="Arial" w:cs="Arial"/>
          <w:sz w:val="22"/>
          <w:szCs w:val="22"/>
        </w:rPr>
        <w:t xml:space="preserve"> na naknadu eventualne štete preko iznosa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e kazne.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Odredbe o </w:t>
      </w:r>
      <w:r>
        <w:rPr>
          <w:rFonts w:ascii="Arial" w:hAnsi="Arial" w:cs="Arial"/>
          <w:sz w:val="22"/>
          <w:szCs w:val="22"/>
        </w:rPr>
        <w:t>ugovorn</w:t>
      </w:r>
      <w:r w:rsidRPr="00A01ABD">
        <w:rPr>
          <w:rFonts w:ascii="Arial" w:hAnsi="Arial" w:cs="Arial"/>
          <w:sz w:val="22"/>
          <w:szCs w:val="22"/>
        </w:rPr>
        <w:t xml:space="preserve">oj kazni neće se primjenjivati, ako je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eni rok prekoračen uslijed više sile ili krivnjom trećih osoba, a što odabrani Ponuditelj mora dokazati.</w:t>
      </w:r>
    </w:p>
    <w:p w:rsidR="00A270E9" w:rsidRPr="00A01ABD" w:rsidRDefault="00A270E9" w:rsidP="00A270E9">
      <w:pPr>
        <w:jc w:val="both"/>
        <w:rPr>
          <w:rFonts w:ascii="Arial" w:hAnsi="Arial" w:cs="Arial"/>
          <w:b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b/>
          <w:sz w:val="22"/>
          <w:szCs w:val="22"/>
        </w:rPr>
      </w:pPr>
    </w:p>
    <w:p w:rsidR="00A270E9" w:rsidRPr="00A01ABD" w:rsidRDefault="00A270E9" w:rsidP="00A270E9">
      <w:pPr>
        <w:numPr>
          <w:ilvl w:val="0"/>
          <w:numId w:val="39"/>
        </w:numPr>
        <w:ind w:hanging="720"/>
        <w:jc w:val="both"/>
        <w:rPr>
          <w:rFonts w:ascii="Arial" w:hAnsi="Arial" w:cs="Arial"/>
          <w:b/>
          <w:sz w:val="22"/>
          <w:szCs w:val="22"/>
          <w:lang w:eastAsia="x-none"/>
        </w:rPr>
      </w:pPr>
      <w:bookmarkStart w:id="15" w:name="_Toc346535603"/>
      <w:bookmarkStart w:id="16" w:name="_Toc372266929"/>
      <w:r w:rsidRPr="00A01ABD">
        <w:rPr>
          <w:rFonts w:ascii="Arial" w:hAnsi="Arial" w:cs="Arial"/>
          <w:b/>
          <w:sz w:val="22"/>
          <w:szCs w:val="22"/>
          <w:lang w:eastAsia="x-none"/>
        </w:rPr>
        <w:t xml:space="preserve"> ROK, NAČIN I UVJETI PLAĆANJA</w:t>
      </w:r>
      <w:bookmarkEnd w:id="15"/>
      <w:bookmarkEnd w:id="16"/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Odabrani </w:t>
      </w:r>
      <w:r w:rsidRPr="00A01ABD">
        <w:rPr>
          <w:rFonts w:ascii="Arial" w:hAnsi="Arial" w:cs="Arial"/>
          <w:sz w:val="22"/>
          <w:szCs w:val="22"/>
        </w:rPr>
        <w:t xml:space="preserve">Ponuditelj je obvezan prema Naručitelju poslati isključivo </w:t>
      </w:r>
      <w:proofErr w:type="spellStart"/>
      <w:r w:rsidRPr="00A01ABD">
        <w:rPr>
          <w:rFonts w:ascii="Arial" w:hAnsi="Arial" w:cs="Arial"/>
          <w:sz w:val="22"/>
          <w:szCs w:val="22"/>
        </w:rPr>
        <w:t>eRačun</w:t>
      </w:r>
      <w:proofErr w:type="spellEnd"/>
      <w:r w:rsidRPr="00A01ABD">
        <w:rPr>
          <w:rFonts w:ascii="Arial" w:hAnsi="Arial" w:cs="Arial"/>
          <w:sz w:val="22"/>
          <w:szCs w:val="22"/>
        </w:rPr>
        <w:t>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Plaćanje, transakcijski račun u roku od 30 dana od zaprimanja računa za isporučenu robu.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Plaćanje se obavlja na žiro račun </w:t>
      </w:r>
      <w:r>
        <w:rPr>
          <w:rFonts w:ascii="Arial" w:hAnsi="Arial" w:cs="Arial"/>
          <w:sz w:val="22"/>
          <w:szCs w:val="22"/>
        </w:rPr>
        <w:t>odabranog P</w:t>
      </w:r>
      <w:r w:rsidRPr="00A01ABD">
        <w:rPr>
          <w:rFonts w:ascii="Arial" w:hAnsi="Arial" w:cs="Arial"/>
          <w:sz w:val="22"/>
          <w:szCs w:val="22"/>
        </w:rPr>
        <w:t>onuditelja.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Obračunsko razdoblje je jedan mjesec (od prvog do posljednjeg dana kalendarskog mjeseca)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Nakon odabira Ponuditelja definirat će se dinamika plaćanja troškova transporta po mjesecima i to će biti sastavni dio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A01ABD">
        <w:rPr>
          <w:rFonts w:ascii="Arial" w:hAnsi="Arial" w:cs="Arial"/>
          <w:sz w:val="22"/>
          <w:szCs w:val="22"/>
        </w:rPr>
        <w:t xml:space="preserve"> 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Predujam isključen.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bookmarkStart w:id="17" w:name="_Hlk100843369"/>
      <w:r w:rsidRPr="00A01ABD">
        <w:rPr>
          <w:rFonts w:ascii="Arial" w:hAnsi="Arial" w:cs="Arial"/>
          <w:sz w:val="22"/>
          <w:szCs w:val="22"/>
        </w:rPr>
        <w:t xml:space="preserve">Tečaj za konverziju valute: srednji tečaj HNB na datum </w:t>
      </w:r>
      <w:r>
        <w:rPr>
          <w:rFonts w:ascii="Arial" w:hAnsi="Arial" w:cs="Arial"/>
          <w:sz w:val="22"/>
          <w:szCs w:val="22"/>
        </w:rPr>
        <w:t xml:space="preserve"> izdavanja računa</w:t>
      </w:r>
      <w:r w:rsidRPr="00A01ABD">
        <w:rPr>
          <w:rFonts w:ascii="Arial" w:hAnsi="Arial" w:cs="Arial"/>
          <w:sz w:val="22"/>
          <w:szCs w:val="22"/>
        </w:rPr>
        <w:t>.</w:t>
      </w:r>
    </w:p>
    <w:bookmarkEnd w:id="17"/>
    <w:p w:rsidR="00A270E9" w:rsidRPr="00A01ABD" w:rsidRDefault="00A270E9" w:rsidP="00A270E9">
      <w:pPr>
        <w:tabs>
          <w:tab w:val="left" w:pos="6313"/>
        </w:tabs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numPr>
          <w:ilvl w:val="0"/>
          <w:numId w:val="39"/>
        </w:numPr>
        <w:ind w:hanging="720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A01ABD">
        <w:rPr>
          <w:rFonts w:ascii="Arial" w:hAnsi="Arial" w:cs="Arial"/>
          <w:b/>
          <w:sz w:val="22"/>
          <w:szCs w:val="22"/>
          <w:lang w:eastAsia="x-none"/>
        </w:rPr>
        <w:t>OSTALO</w:t>
      </w:r>
    </w:p>
    <w:p w:rsidR="00A270E9" w:rsidRPr="00A01ABD" w:rsidRDefault="00A270E9" w:rsidP="00A270E9">
      <w:pPr>
        <w:tabs>
          <w:tab w:val="left" w:pos="6313"/>
        </w:tabs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 xml:space="preserve">Naručitelj neće imati obvezu prihvatiti bilo koju zaprimljenu ponudu, niti sklopiti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 s bilo kojim Ponuditeljem. Naručitelj također neće imati obvezu da odabere najpovoljniju ponudu </w:t>
      </w:r>
      <w:r w:rsidRPr="00A01ABD">
        <w:rPr>
          <w:rFonts w:ascii="Arial" w:hAnsi="Arial" w:cs="Arial"/>
          <w:sz w:val="22"/>
          <w:szCs w:val="22"/>
        </w:rPr>
        <w:lastRenderedPageBreak/>
        <w:t xml:space="preserve">sukladno kriterijima odabira iz ovog poziva za dostavom ponuda niti da potpiše </w:t>
      </w:r>
      <w:r>
        <w:rPr>
          <w:rFonts w:ascii="Arial" w:hAnsi="Arial" w:cs="Arial"/>
          <w:sz w:val="22"/>
          <w:szCs w:val="22"/>
        </w:rPr>
        <w:t>Ugovor</w:t>
      </w:r>
      <w:r w:rsidRPr="00A01ABD">
        <w:rPr>
          <w:rFonts w:ascii="Arial" w:hAnsi="Arial" w:cs="Arial"/>
          <w:sz w:val="22"/>
          <w:szCs w:val="22"/>
        </w:rPr>
        <w:t xml:space="preserve"> s takvim Ponuditeljem.</w:t>
      </w:r>
    </w:p>
    <w:p w:rsidR="00A270E9" w:rsidRDefault="00A270E9" w:rsidP="00A270E9">
      <w:pPr>
        <w:jc w:val="both"/>
        <w:rPr>
          <w:rFonts w:ascii="Arial" w:hAnsi="Arial" w:cs="Arial"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>Naručitelj zadržava pravo da Ponuditelji koji u najboljoj mjeri udovoljavaju traženju Naručitelja, budu pozvani u drugi krug</w:t>
      </w:r>
      <w:r>
        <w:rPr>
          <w:rFonts w:ascii="Arial" w:hAnsi="Arial" w:cs="Arial"/>
          <w:sz w:val="22"/>
          <w:szCs w:val="22"/>
        </w:rPr>
        <w:t>.</w:t>
      </w:r>
    </w:p>
    <w:p w:rsidR="00A270E9" w:rsidRPr="00A01ABD" w:rsidRDefault="00A270E9" w:rsidP="00A270E9">
      <w:pPr>
        <w:jc w:val="both"/>
        <w:rPr>
          <w:rFonts w:ascii="Arial" w:hAnsi="Arial" w:cs="Arial"/>
          <w:sz w:val="22"/>
          <w:szCs w:val="22"/>
        </w:rPr>
      </w:pPr>
    </w:p>
    <w:p w:rsidR="00A270E9" w:rsidRPr="00A01ABD" w:rsidRDefault="00A270E9" w:rsidP="00A270E9">
      <w:pPr>
        <w:tabs>
          <w:tab w:val="left" w:pos="6313"/>
        </w:tabs>
        <w:jc w:val="both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sz w:val="22"/>
          <w:szCs w:val="22"/>
        </w:rPr>
        <w:tab/>
      </w:r>
    </w:p>
    <w:p w:rsidR="00A270E9" w:rsidRDefault="00A270E9" w:rsidP="00A270E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Plin</w:t>
      </w:r>
      <w:r w:rsidR="00EF4DAF">
        <w:rPr>
          <w:rFonts w:ascii="Arial" w:hAnsi="Arial" w:cs="Arial"/>
          <w:b/>
          <w:sz w:val="22"/>
          <w:szCs w:val="22"/>
        </w:rPr>
        <w:t>kom</w:t>
      </w:r>
      <w:proofErr w:type="spellEnd"/>
      <w:r w:rsidRPr="00A01ABD">
        <w:rPr>
          <w:rFonts w:ascii="Arial" w:hAnsi="Arial" w:cs="Arial"/>
          <w:b/>
          <w:sz w:val="22"/>
          <w:szCs w:val="22"/>
        </w:rPr>
        <w:t xml:space="preserve"> d.o.o.</w:t>
      </w:r>
    </w:p>
    <w:p w:rsidR="00EF4DAF" w:rsidRPr="00A01ABD" w:rsidRDefault="00EF4DAF" w:rsidP="00A270E9">
      <w:pPr>
        <w:jc w:val="both"/>
        <w:rPr>
          <w:rFonts w:ascii="Arial" w:hAnsi="Arial" w:cs="Arial"/>
          <w:b/>
          <w:sz w:val="22"/>
          <w:szCs w:val="22"/>
        </w:rPr>
      </w:pPr>
    </w:p>
    <w:p w:rsidR="00A270E9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>U prilogu:</w:t>
      </w:r>
    </w:p>
    <w:p w:rsidR="00A270E9" w:rsidRPr="00A01ABD" w:rsidRDefault="00A270E9" w:rsidP="00A270E9">
      <w:pPr>
        <w:jc w:val="both"/>
        <w:rPr>
          <w:rFonts w:ascii="Arial" w:hAnsi="Arial" w:cs="Arial"/>
          <w:bCs/>
          <w:sz w:val="22"/>
          <w:szCs w:val="22"/>
        </w:rPr>
      </w:pPr>
    </w:p>
    <w:p w:rsidR="00A270E9" w:rsidRPr="004544BC" w:rsidRDefault="00A270E9" w:rsidP="00A270E9">
      <w:pPr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4544BC">
        <w:rPr>
          <w:rFonts w:ascii="Arial" w:hAnsi="Arial" w:cs="Arial"/>
          <w:bCs/>
          <w:sz w:val="22"/>
          <w:szCs w:val="22"/>
        </w:rPr>
        <w:t>Ponudbeni list</w:t>
      </w:r>
    </w:p>
    <w:p w:rsidR="00A270E9" w:rsidRPr="00A01ABD" w:rsidRDefault="00A270E9" w:rsidP="00A270E9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A01ABD">
        <w:rPr>
          <w:rFonts w:ascii="Arial" w:hAnsi="Arial" w:cs="Arial"/>
          <w:bCs/>
          <w:sz w:val="22"/>
          <w:szCs w:val="22"/>
        </w:rPr>
        <w:t>Troškovnik</w:t>
      </w:r>
    </w:p>
    <w:p w:rsidR="00A270E9" w:rsidRDefault="00A270E9" w:rsidP="00A270E9"/>
    <w:p w:rsidR="00A270E9" w:rsidRPr="00D0068A" w:rsidRDefault="00A270E9" w:rsidP="00A270E9">
      <w:pPr>
        <w:widowControl w:val="0"/>
        <w:autoSpaceDN w:val="0"/>
        <w:adjustRightInd w:val="0"/>
      </w:pPr>
    </w:p>
    <w:p w:rsidR="00A270E9" w:rsidRDefault="00A270E9" w:rsidP="00A270E9">
      <w:pPr>
        <w:tabs>
          <w:tab w:val="left" w:pos="1500"/>
        </w:tabs>
      </w:pPr>
    </w:p>
    <w:p w:rsidR="00A270E9" w:rsidRDefault="00A270E9" w:rsidP="00A270E9">
      <w:pPr>
        <w:tabs>
          <w:tab w:val="left" w:pos="-2340"/>
        </w:tabs>
        <w:spacing w:line="276" w:lineRule="auto"/>
        <w:jc w:val="both"/>
      </w:pP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  <w:t xml:space="preserve">        </w:t>
      </w:r>
      <w:r>
        <w:t xml:space="preserve"> </w:t>
      </w:r>
      <w:r w:rsidRPr="005D71E9">
        <w:t xml:space="preserve">       </w:t>
      </w:r>
      <w:r w:rsidR="00D946B9">
        <w:t xml:space="preserve">  </w:t>
      </w:r>
      <w:r w:rsidRPr="005D71E9">
        <w:t>DIREKTOR</w:t>
      </w:r>
    </w:p>
    <w:p w:rsidR="002B09E3" w:rsidRDefault="002B09E3" w:rsidP="002B09E3">
      <w:pPr>
        <w:tabs>
          <w:tab w:val="left" w:pos="-2340"/>
        </w:tabs>
        <w:spacing w:line="276" w:lineRule="auto"/>
        <w:jc w:val="both"/>
      </w:pPr>
      <w:r>
        <w:t xml:space="preserve">                                                                                                         Dražen </w:t>
      </w:r>
      <w:proofErr w:type="spellStart"/>
      <w:r>
        <w:t>Derežić</w:t>
      </w:r>
      <w:proofErr w:type="spellEnd"/>
      <w:r>
        <w:t>, dipl. ing.</w:t>
      </w:r>
    </w:p>
    <w:p w:rsidR="002B09E3" w:rsidRPr="005D71E9" w:rsidRDefault="002B09E3" w:rsidP="00A270E9">
      <w:pPr>
        <w:tabs>
          <w:tab w:val="left" w:pos="-2340"/>
        </w:tabs>
        <w:spacing w:line="276" w:lineRule="auto"/>
        <w:jc w:val="both"/>
      </w:pPr>
    </w:p>
    <w:p w:rsidR="00EF4DAF" w:rsidRDefault="00A270E9" w:rsidP="00A270E9">
      <w:pPr>
        <w:tabs>
          <w:tab w:val="left" w:pos="-2340"/>
        </w:tabs>
        <w:spacing w:line="276" w:lineRule="auto"/>
        <w:jc w:val="both"/>
      </w:pP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  <w:t xml:space="preserve"> </w:t>
      </w:r>
      <w:r w:rsidR="00EF4DAF">
        <w:t xml:space="preserve"> </w:t>
      </w:r>
    </w:p>
    <w:p w:rsidR="00A270E9" w:rsidRPr="005D71E9" w:rsidRDefault="00EF4DAF" w:rsidP="00A270E9">
      <w:pPr>
        <w:tabs>
          <w:tab w:val="left" w:pos="-2340"/>
        </w:tabs>
        <w:spacing w:line="276" w:lineRule="auto"/>
        <w:jc w:val="both"/>
      </w:pPr>
      <w:r>
        <w:t xml:space="preserve">    </w:t>
      </w:r>
      <w:r w:rsidR="002B09E3">
        <w:t xml:space="preserve">                                                                       </w:t>
      </w:r>
      <w:r>
        <w:t xml:space="preserve">    </w:t>
      </w:r>
      <w:r w:rsidR="002B09E3" w:rsidRPr="002B09E3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40F180D6" wp14:editId="0BE85661">
            <wp:extent cx="2733675" cy="971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9" t="7136" r="48735" b="81164"/>
                    <a:stretch/>
                  </pic:blipFill>
                  <pic:spPr bwMode="auto">
                    <a:xfrm>
                      <a:off x="0" y="0"/>
                      <a:ext cx="2734170" cy="97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 w:rsidR="00A270E9">
        <w:t xml:space="preserve"> </w:t>
      </w:r>
    </w:p>
    <w:p w:rsidR="00A270E9" w:rsidRDefault="00A270E9" w:rsidP="00A270E9">
      <w:pPr>
        <w:tabs>
          <w:tab w:val="left" w:pos="-2340"/>
        </w:tabs>
        <w:spacing w:line="276" w:lineRule="auto"/>
        <w:jc w:val="both"/>
      </w:pPr>
      <w:r w:rsidRPr="005D71E9">
        <w:tab/>
      </w:r>
    </w:p>
    <w:p w:rsidR="00A270E9" w:rsidRDefault="00A270E9" w:rsidP="00A270E9">
      <w:pPr>
        <w:tabs>
          <w:tab w:val="left" w:pos="-2340"/>
        </w:tabs>
        <w:spacing w:line="276" w:lineRule="auto"/>
        <w:jc w:val="both"/>
      </w:pPr>
    </w:p>
    <w:p w:rsidR="00A270E9" w:rsidRDefault="00A270E9" w:rsidP="00A270E9">
      <w:pPr>
        <w:tabs>
          <w:tab w:val="left" w:pos="-2340"/>
        </w:tabs>
        <w:spacing w:line="276" w:lineRule="auto"/>
        <w:jc w:val="both"/>
      </w:pPr>
    </w:p>
    <w:p w:rsidR="00A270E9" w:rsidRDefault="00A270E9" w:rsidP="00A270E9">
      <w:pPr>
        <w:tabs>
          <w:tab w:val="left" w:pos="-2340"/>
        </w:tabs>
        <w:spacing w:line="276" w:lineRule="auto"/>
        <w:jc w:val="both"/>
      </w:pPr>
    </w:p>
    <w:p w:rsidR="00A270E9" w:rsidRPr="005D71E9" w:rsidRDefault="00A270E9" w:rsidP="00A270E9">
      <w:pPr>
        <w:tabs>
          <w:tab w:val="left" w:pos="-2340"/>
        </w:tabs>
        <w:spacing w:line="276" w:lineRule="auto"/>
        <w:jc w:val="both"/>
      </w:pP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  <w:r w:rsidRPr="005D71E9">
        <w:tab/>
      </w:r>
    </w:p>
    <w:p w:rsidR="00063DC7" w:rsidRDefault="00063DC7"/>
    <w:sectPr w:rsidR="00063DC7" w:rsidSect="00ED5460">
      <w:headerReference w:type="default" r:id="rId12"/>
      <w:footerReference w:type="default" r:id="rId13"/>
      <w:pgSz w:w="11907" w:h="16840" w:code="9"/>
      <w:pgMar w:top="851" w:right="1418" w:bottom="1418" w:left="1418" w:header="567" w:footer="51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91" w:rsidRDefault="00863391">
      <w:r>
        <w:separator/>
      </w:r>
    </w:p>
  </w:endnote>
  <w:endnote w:type="continuationSeparator" w:id="0">
    <w:p w:rsidR="00863391" w:rsidRDefault="008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F1" w:rsidRPr="00591CF1" w:rsidRDefault="00591CF1" w:rsidP="00591CF1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2"/>
        <w:szCs w:val="22"/>
        <w:lang w:eastAsia="en-US"/>
      </w:rPr>
    </w:pPr>
    <w:proofErr w:type="spellStart"/>
    <w:r w:rsidRPr="00591CF1">
      <w:rPr>
        <w:rFonts w:ascii="Arial" w:eastAsia="Calibri" w:hAnsi="Arial" w:cs="Arial"/>
        <w:sz w:val="22"/>
        <w:szCs w:val="22"/>
        <w:lang w:eastAsia="en-US"/>
      </w:rPr>
      <w:t>Plinkom</w:t>
    </w:r>
    <w:proofErr w:type="spellEnd"/>
    <w:r w:rsidRPr="00591CF1">
      <w:rPr>
        <w:rFonts w:ascii="Arial" w:eastAsia="Calibri" w:hAnsi="Arial" w:cs="Arial"/>
        <w:sz w:val="22"/>
        <w:szCs w:val="22"/>
        <w:lang w:eastAsia="en-US"/>
      </w:rPr>
      <w:t xml:space="preserve"> d.o.o., Vinogradska 41, 33405 Pitomača</w:t>
    </w:r>
  </w:p>
  <w:p w:rsidR="00591CF1" w:rsidRDefault="00591C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91" w:rsidRDefault="00863391">
      <w:r>
        <w:separator/>
      </w:r>
    </w:p>
  </w:footnote>
  <w:footnote w:type="continuationSeparator" w:id="0">
    <w:p w:rsidR="00863391" w:rsidRDefault="0086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2" w:rsidRDefault="003A4422">
    <w:pPr>
      <w:pStyle w:val="Zaglavlje"/>
    </w:pPr>
    <w:r w:rsidRPr="003A4422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43CD3C2" wp14:editId="4C94871A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838325" cy="743585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82"/>
                  <a:stretch/>
                </pic:blipFill>
                <pic:spPr bwMode="auto">
                  <a:xfrm>
                    <a:off x="0" y="0"/>
                    <a:ext cx="183832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A4422" w:rsidRPr="003A4422" w:rsidRDefault="003A4422" w:rsidP="003A4422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>P</w:t>
    </w:r>
    <w:r w:rsidRPr="003A4422">
      <w:rPr>
        <w:rFonts w:ascii="Calibri" w:eastAsia="Calibri" w:hAnsi="Calibri"/>
        <w:sz w:val="16"/>
        <w:szCs w:val="16"/>
        <w:lang w:eastAsia="en-US"/>
      </w:rPr>
      <w:t>itomača, Vinogradska 41</w:t>
    </w:r>
  </w:p>
  <w:p w:rsidR="003A4422" w:rsidRDefault="003A4422" w:rsidP="003A4422">
    <w:pPr>
      <w:rPr>
        <w:rFonts w:ascii="Calibri" w:eastAsia="Calibri" w:hAnsi="Calibri"/>
        <w:sz w:val="16"/>
        <w:szCs w:val="16"/>
        <w:lang w:eastAsia="en-US"/>
      </w:rPr>
    </w:pPr>
    <w:r w:rsidRPr="003A4422">
      <w:rPr>
        <w:rFonts w:ascii="Calibri" w:eastAsia="Calibri" w:hAnsi="Calibri"/>
        <w:sz w:val="16"/>
        <w:szCs w:val="16"/>
        <w:lang w:eastAsia="en-US"/>
      </w:rPr>
      <w:t>MB: 2384574 OIB: 92107053211</w:t>
    </w:r>
  </w:p>
  <w:p w:rsidR="003A4422" w:rsidRPr="003A4422" w:rsidRDefault="003A4422" w:rsidP="003A4422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IBAN: </w:t>
    </w:r>
    <w:r w:rsidRPr="003A4422">
      <w:rPr>
        <w:rFonts w:ascii="Calibri" w:eastAsia="Calibri" w:hAnsi="Calibri"/>
        <w:sz w:val="16"/>
        <w:szCs w:val="16"/>
        <w:lang w:eastAsia="en-US"/>
      </w:rPr>
      <w:t>HR5824020061100527034</w:t>
    </w:r>
  </w:p>
  <w:p w:rsidR="003A4422" w:rsidRPr="003A4422" w:rsidRDefault="003A4422" w:rsidP="003A4422">
    <w:pPr>
      <w:rPr>
        <w:rFonts w:ascii="Calibri" w:eastAsia="Calibri" w:hAnsi="Calibri"/>
        <w:sz w:val="16"/>
        <w:szCs w:val="16"/>
        <w:lang w:eastAsia="en-US"/>
      </w:rPr>
    </w:pPr>
    <w:r w:rsidRPr="003A4422">
      <w:rPr>
        <w:rFonts w:ascii="Calibri" w:eastAsia="Calibri" w:hAnsi="Calibri"/>
        <w:sz w:val="16"/>
        <w:szCs w:val="16"/>
        <w:lang w:eastAsia="en-US"/>
      </w:rPr>
      <w:t>Tel: 033/782-202 Fax: 033/783-501</w:t>
    </w:r>
  </w:p>
  <w:p w:rsidR="003A4422" w:rsidRPr="003A4422" w:rsidRDefault="003A4422" w:rsidP="003A4422">
    <w:pPr>
      <w:rPr>
        <w:rFonts w:ascii="Calibri" w:eastAsia="Calibri" w:hAnsi="Calibri"/>
        <w:sz w:val="16"/>
        <w:szCs w:val="16"/>
        <w:lang w:eastAsia="en-US"/>
      </w:rPr>
    </w:pPr>
    <w:r w:rsidRPr="003A4422">
      <w:rPr>
        <w:rFonts w:ascii="Calibri" w:eastAsia="Calibri" w:hAnsi="Calibri"/>
        <w:sz w:val="16"/>
        <w:szCs w:val="16"/>
        <w:lang w:eastAsia="en-US"/>
      </w:rPr>
      <w:t xml:space="preserve">e-mail: </w:t>
    </w:r>
    <w:hyperlink r:id="rId2" w:history="1">
      <w:r w:rsidRPr="003A4422">
        <w:rPr>
          <w:rFonts w:ascii="Calibri" w:eastAsia="Calibri" w:hAnsi="Calibri"/>
          <w:color w:val="0000FF"/>
          <w:sz w:val="16"/>
          <w:szCs w:val="16"/>
          <w:u w:val="single"/>
          <w:lang w:eastAsia="en-US"/>
        </w:rPr>
        <w:t>plinkom@plinkom.hr</w:t>
      </w:r>
    </w:hyperlink>
  </w:p>
  <w:p w:rsidR="003A4422" w:rsidRPr="003A4422" w:rsidRDefault="00863391" w:rsidP="003A4422">
    <w:pPr>
      <w:spacing w:after="200" w:line="276" w:lineRule="auto"/>
      <w:rPr>
        <w:rFonts w:ascii="Calibri" w:eastAsia="Calibri" w:hAnsi="Calibri"/>
        <w:sz w:val="16"/>
        <w:szCs w:val="16"/>
        <w:lang w:eastAsia="en-US"/>
      </w:rPr>
    </w:pPr>
    <w:hyperlink r:id="rId3" w:history="1">
      <w:r w:rsidR="003A4422" w:rsidRPr="003A4422">
        <w:rPr>
          <w:rFonts w:ascii="Calibri" w:eastAsia="Calibri" w:hAnsi="Calibri"/>
          <w:color w:val="0000FF"/>
          <w:sz w:val="16"/>
          <w:szCs w:val="16"/>
          <w:u w:val="single"/>
          <w:lang w:eastAsia="en-US"/>
        </w:rPr>
        <w:t>www.plinkom.hr</w:t>
      </w:r>
    </w:hyperlink>
  </w:p>
  <w:p w:rsidR="00E47CD5" w:rsidRDefault="008633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E68"/>
    <w:multiLevelType w:val="hybridMultilevel"/>
    <w:tmpl w:val="5C42B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E89"/>
    <w:multiLevelType w:val="hybridMultilevel"/>
    <w:tmpl w:val="6E42678A"/>
    <w:lvl w:ilvl="0" w:tplc="9D4032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DC0"/>
    <w:multiLevelType w:val="hybridMultilevel"/>
    <w:tmpl w:val="3710BF9E"/>
    <w:lvl w:ilvl="0" w:tplc="DD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A38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2D9"/>
    <w:multiLevelType w:val="hybridMultilevel"/>
    <w:tmpl w:val="8CD44986"/>
    <w:lvl w:ilvl="0" w:tplc="88465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188"/>
    <w:multiLevelType w:val="hybridMultilevel"/>
    <w:tmpl w:val="5F744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1915"/>
    <w:multiLevelType w:val="multilevel"/>
    <w:tmpl w:val="F0AA33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2716F"/>
    <w:multiLevelType w:val="hybridMultilevel"/>
    <w:tmpl w:val="04581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5D0E"/>
    <w:multiLevelType w:val="hybridMultilevel"/>
    <w:tmpl w:val="5D62E41C"/>
    <w:lvl w:ilvl="0" w:tplc="DD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136"/>
    <w:multiLevelType w:val="multilevel"/>
    <w:tmpl w:val="0C9C1D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961E2"/>
    <w:multiLevelType w:val="hybridMultilevel"/>
    <w:tmpl w:val="3A5E8624"/>
    <w:lvl w:ilvl="0" w:tplc="6A22FB5A">
      <w:start w:val="1"/>
      <w:numFmt w:val="bullet"/>
      <w:suff w:val="space"/>
      <w:lvlText w:val=""/>
      <w:lvlJc w:val="left"/>
      <w:pPr>
        <w:ind w:left="0" w:firstLine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740D"/>
    <w:multiLevelType w:val="hybridMultilevel"/>
    <w:tmpl w:val="2318A14C"/>
    <w:lvl w:ilvl="0" w:tplc="56DA6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CE7F7C"/>
    <w:multiLevelType w:val="hybridMultilevel"/>
    <w:tmpl w:val="50AAF59E"/>
    <w:lvl w:ilvl="0" w:tplc="5B88D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697B"/>
    <w:multiLevelType w:val="multilevel"/>
    <w:tmpl w:val="D81AE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67A37B5"/>
    <w:multiLevelType w:val="hybridMultilevel"/>
    <w:tmpl w:val="3244A91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7401"/>
    <w:multiLevelType w:val="hybridMultilevel"/>
    <w:tmpl w:val="4BB2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31002"/>
    <w:multiLevelType w:val="multilevel"/>
    <w:tmpl w:val="7A9ADD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716A2"/>
    <w:multiLevelType w:val="hybridMultilevel"/>
    <w:tmpl w:val="9F7AB9C8"/>
    <w:lvl w:ilvl="0" w:tplc="15165C9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E6C"/>
    <w:multiLevelType w:val="hybridMultilevel"/>
    <w:tmpl w:val="05223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77942"/>
    <w:multiLevelType w:val="hybridMultilevel"/>
    <w:tmpl w:val="CBFC1B6E"/>
    <w:lvl w:ilvl="0" w:tplc="687CE2F0">
      <w:start w:val="4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4B007452"/>
    <w:multiLevelType w:val="hybridMultilevel"/>
    <w:tmpl w:val="55D06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56521"/>
    <w:multiLevelType w:val="hybridMultilevel"/>
    <w:tmpl w:val="53184D1C"/>
    <w:lvl w:ilvl="0" w:tplc="BAB6623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6840"/>
    <w:multiLevelType w:val="hybridMultilevel"/>
    <w:tmpl w:val="48124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67D08"/>
    <w:multiLevelType w:val="hybridMultilevel"/>
    <w:tmpl w:val="BB94C6BC"/>
    <w:lvl w:ilvl="0" w:tplc="12BAC6A2">
      <w:start w:val="1"/>
      <w:numFmt w:val="bullet"/>
      <w:suff w:val="space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06E4"/>
    <w:multiLevelType w:val="hybridMultilevel"/>
    <w:tmpl w:val="80A25CC0"/>
    <w:lvl w:ilvl="0" w:tplc="FAFE919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BC8"/>
    <w:multiLevelType w:val="hybridMultilevel"/>
    <w:tmpl w:val="6660F2CC"/>
    <w:lvl w:ilvl="0" w:tplc="65340634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5C26"/>
    <w:multiLevelType w:val="hybridMultilevel"/>
    <w:tmpl w:val="EB06F2EE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D643E9"/>
    <w:multiLevelType w:val="multilevel"/>
    <w:tmpl w:val="4A22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81B3C1F"/>
    <w:multiLevelType w:val="hybridMultilevel"/>
    <w:tmpl w:val="635EA184"/>
    <w:lvl w:ilvl="0" w:tplc="C5DE7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F2047"/>
    <w:multiLevelType w:val="hybridMultilevel"/>
    <w:tmpl w:val="BDB2E102"/>
    <w:lvl w:ilvl="0" w:tplc="FE7A2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D0632"/>
    <w:multiLevelType w:val="hybridMultilevel"/>
    <w:tmpl w:val="9A16E6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779BE"/>
    <w:multiLevelType w:val="hybridMultilevel"/>
    <w:tmpl w:val="807CA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3639"/>
    <w:multiLevelType w:val="hybridMultilevel"/>
    <w:tmpl w:val="AA261A0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7156E"/>
    <w:multiLevelType w:val="hybridMultilevel"/>
    <w:tmpl w:val="02D6454A"/>
    <w:lvl w:ilvl="0" w:tplc="05DAB7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4CD3"/>
    <w:multiLevelType w:val="hybridMultilevel"/>
    <w:tmpl w:val="141004CC"/>
    <w:lvl w:ilvl="0" w:tplc="277C1706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717A"/>
    <w:multiLevelType w:val="hybridMultilevel"/>
    <w:tmpl w:val="E48EB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E0205"/>
    <w:multiLevelType w:val="hybridMultilevel"/>
    <w:tmpl w:val="A1DA9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B46"/>
    <w:multiLevelType w:val="hybridMultilevel"/>
    <w:tmpl w:val="D9A8C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D3A73"/>
    <w:multiLevelType w:val="multilevel"/>
    <w:tmpl w:val="056EA0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38171CF"/>
    <w:multiLevelType w:val="hybridMultilevel"/>
    <w:tmpl w:val="E1E84626"/>
    <w:lvl w:ilvl="0" w:tplc="DD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F50"/>
    <w:multiLevelType w:val="multilevel"/>
    <w:tmpl w:val="F0AA33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201097"/>
    <w:multiLevelType w:val="hybridMultilevel"/>
    <w:tmpl w:val="55DAE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55E8D"/>
    <w:multiLevelType w:val="multilevel"/>
    <w:tmpl w:val="35FA0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63697E"/>
    <w:multiLevelType w:val="hybridMultilevel"/>
    <w:tmpl w:val="635EA184"/>
    <w:lvl w:ilvl="0" w:tplc="C5DE7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696E"/>
    <w:multiLevelType w:val="hybridMultilevel"/>
    <w:tmpl w:val="D9008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959D7"/>
    <w:multiLevelType w:val="hybridMultilevel"/>
    <w:tmpl w:val="748E0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710A6"/>
    <w:multiLevelType w:val="hybridMultilevel"/>
    <w:tmpl w:val="E5882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A7AEE"/>
    <w:multiLevelType w:val="multilevel"/>
    <w:tmpl w:val="90244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F1D5431"/>
    <w:multiLevelType w:val="hybridMultilevel"/>
    <w:tmpl w:val="A5F8AD32"/>
    <w:lvl w:ilvl="0" w:tplc="277C1706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64E84"/>
    <w:multiLevelType w:val="hybridMultilevel"/>
    <w:tmpl w:val="E506A03E"/>
    <w:lvl w:ilvl="0" w:tplc="26F26B4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32"/>
  </w:num>
  <w:num w:numId="5">
    <w:abstractNumId w:val="35"/>
  </w:num>
  <w:num w:numId="6">
    <w:abstractNumId w:val="27"/>
  </w:num>
  <w:num w:numId="7">
    <w:abstractNumId w:val="13"/>
  </w:num>
  <w:num w:numId="8">
    <w:abstractNumId w:val="1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40"/>
  </w:num>
  <w:num w:numId="13">
    <w:abstractNumId w:val="19"/>
  </w:num>
  <w:num w:numId="14">
    <w:abstractNumId w:val="42"/>
  </w:num>
  <w:num w:numId="15">
    <w:abstractNumId w:val="8"/>
  </w:num>
  <w:num w:numId="16">
    <w:abstractNumId w:val="41"/>
  </w:num>
  <w:num w:numId="17">
    <w:abstractNumId w:val="39"/>
  </w:num>
  <w:num w:numId="18">
    <w:abstractNumId w:val="10"/>
  </w:num>
  <w:num w:numId="19">
    <w:abstractNumId w:val="5"/>
  </w:num>
  <w:num w:numId="20">
    <w:abstractNumId w:val="37"/>
  </w:num>
  <w:num w:numId="21">
    <w:abstractNumId w:val="0"/>
  </w:num>
  <w:num w:numId="22">
    <w:abstractNumId w:val="36"/>
  </w:num>
  <w:num w:numId="23">
    <w:abstractNumId w:val="20"/>
  </w:num>
  <w:num w:numId="24">
    <w:abstractNumId w:val="6"/>
  </w:num>
  <w:num w:numId="25">
    <w:abstractNumId w:val="3"/>
  </w:num>
  <w:num w:numId="26">
    <w:abstractNumId w:val="45"/>
  </w:num>
  <w:num w:numId="27">
    <w:abstractNumId w:val="9"/>
  </w:num>
  <w:num w:numId="28">
    <w:abstractNumId w:val="22"/>
  </w:num>
  <w:num w:numId="29">
    <w:abstractNumId w:val="43"/>
  </w:num>
  <w:num w:numId="30">
    <w:abstractNumId w:val="21"/>
  </w:num>
  <w:num w:numId="31">
    <w:abstractNumId w:val="4"/>
  </w:num>
  <w:num w:numId="32">
    <w:abstractNumId w:val="23"/>
  </w:num>
  <w:num w:numId="33">
    <w:abstractNumId w:val="24"/>
  </w:num>
  <w:num w:numId="34">
    <w:abstractNumId w:val="47"/>
  </w:num>
  <w:num w:numId="35">
    <w:abstractNumId w:val="33"/>
  </w:num>
  <w:num w:numId="36">
    <w:abstractNumId w:val="17"/>
  </w:num>
  <w:num w:numId="37">
    <w:abstractNumId w:val="30"/>
  </w:num>
  <w:num w:numId="38">
    <w:abstractNumId w:val="1"/>
  </w:num>
  <w:num w:numId="39">
    <w:abstractNumId w:val="26"/>
  </w:num>
  <w:num w:numId="40">
    <w:abstractNumId w:val="25"/>
  </w:num>
  <w:num w:numId="41">
    <w:abstractNumId w:val="46"/>
  </w:num>
  <w:num w:numId="42">
    <w:abstractNumId w:val="7"/>
  </w:num>
  <w:num w:numId="43">
    <w:abstractNumId w:val="2"/>
  </w:num>
  <w:num w:numId="44">
    <w:abstractNumId w:val="12"/>
  </w:num>
  <w:num w:numId="45">
    <w:abstractNumId w:val="38"/>
  </w:num>
  <w:num w:numId="46">
    <w:abstractNumId w:val="44"/>
  </w:num>
  <w:num w:numId="47">
    <w:abstractNumId w:val="14"/>
  </w:num>
  <w:num w:numId="48">
    <w:abstractNumId w:val="31"/>
  </w:num>
  <w:num w:numId="49">
    <w:abstractNumId w:val="2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9"/>
    <w:rsid w:val="00063DC7"/>
    <w:rsid w:val="00064B20"/>
    <w:rsid w:val="001D0D36"/>
    <w:rsid w:val="0027591C"/>
    <w:rsid w:val="002B09E3"/>
    <w:rsid w:val="002D3231"/>
    <w:rsid w:val="002D7502"/>
    <w:rsid w:val="003A4422"/>
    <w:rsid w:val="004B6C56"/>
    <w:rsid w:val="004D0827"/>
    <w:rsid w:val="004F43FF"/>
    <w:rsid w:val="005531CC"/>
    <w:rsid w:val="00591CF1"/>
    <w:rsid w:val="005A330D"/>
    <w:rsid w:val="005B21F2"/>
    <w:rsid w:val="005E0B13"/>
    <w:rsid w:val="00863391"/>
    <w:rsid w:val="0088527D"/>
    <w:rsid w:val="008945E1"/>
    <w:rsid w:val="00902E7E"/>
    <w:rsid w:val="009460E6"/>
    <w:rsid w:val="00A270E9"/>
    <w:rsid w:val="00AB5238"/>
    <w:rsid w:val="00AE2148"/>
    <w:rsid w:val="00C81F75"/>
    <w:rsid w:val="00CB44DA"/>
    <w:rsid w:val="00D254E5"/>
    <w:rsid w:val="00D3328C"/>
    <w:rsid w:val="00D46ECF"/>
    <w:rsid w:val="00D946B9"/>
    <w:rsid w:val="00DE5B29"/>
    <w:rsid w:val="00EF4DAF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99437-105B-4AA9-91DC-E8EAD1E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270E9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A270E9"/>
    <w:pPr>
      <w:keepNext/>
      <w:jc w:val="center"/>
      <w:outlineLvl w:val="1"/>
    </w:pPr>
    <w:rPr>
      <w:rFonts w:ascii="Arial" w:hAnsi="Arial"/>
      <w:b/>
      <w:sz w:val="32"/>
      <w:szCs w:val="20"/>
      <w:lang w:val="en-AU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270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70E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A270E9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A270E9"/>
    <w:rPr>
      <w:rFonts w:ascii="Arial" w:eastAsia="Times New Roman" w:hAnsi="Arial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A270E9"/>
    <w:rPr>
      <w:rFonts w:ascii="Arial" w:eastAsia="Times New Roman" w:hAnsi="Arial" w:cs="Times New Roman"/>
      <w:b/>
      <w:sz w:val="32"/>
      <w:szCs w:val="20"/>
      <w:lang w:val="en-AU" w:eastAsia="x-none"/>
    </w:rPr>
  </w:style>
  <w:style w:type="paragraph" w:styleId="Tekstbalonia">
    <w:name w:val="Balloon Text"/>
    <w:basedOn w:val="Normal"/>
    <w:link w:val="TekstbaloniaChar"/>
    <w:semiHidden/>
    <w:rsid w:val="00A270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270E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A270E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Adresa">
    <w:name w:val="Adresa"/>
    <w:basedOn w:val="Normal"/>
    <w:rsid w:val="00A270E9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Odlomak">
    <w:name w:val="Odlomak"/>
    <w:basedOn w:val="Normal"/>
    <w:rsid w:val="00A270E9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Datum1">
    <w:name w:val="Datum1"/>
    <w:basedOn w:val="Normal"/>
    <w:rsid w:val="00A270E9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customStyle="1" w:styleId="Pozdrav1">
    <w:name w:val="Pozdrav1"/>
    <w:basedOn w:val="Normal"/>
    <w:next w:val="Odlomak"/>
    <w:rsid w:val="00A270E9"/>
    <w:pPr>
      <w:keepNext/>
      <w:spacing w:before="360" w:after="120"/>
    </w:pPr>
    <w:rPr>
      <w:rFonts w:ascii="Arial" w:hAnsi="Arial"/>
      <w:szCs w:val="20"/>
      <w:lang w:eastAsia="en-US"/>
    </w:rPr>
  </w:style>
  <w:style w:type="paragraph" w:styleId="Podnoje">
    <w:name w:val="footer"/>
    <w:basedOn w:val="Normal"/>
    <w:link w:val="PodnojeChar"/>
    <w:uiPriority w:val="99"/>
    <w:rsid w:val="00A270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270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A270E9"/>
  </w:style>
  <w:style w:type="paragraph" w:styleId="Obinouvueno">
    <w:name w:val="Normal Indent"/>
    <w:basedOn w:val="Normal"/>
    <w:rsid w:val="00A270E9"/>
    <w:pPr>
      <w:ind w:left="720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A270E9"/>
    <w:pPr>
      <w:jc w:val="center"/>
    </w:pPr>
  </w:style>
  <w:style w:type="character" w:customStyle="1" w:styleId="TijelotekstaChar">
    <w:name w:val="Tijelo teksta Char"/>
    <w:basedOn w:val="Zadanifontodlomka"/>
    <w:link w:val="Tijeloteksta"/>
    <w:rsid w:val="00A270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A270E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A270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270E9"/>
    <w:pPr>
      <w:ind w:left="708"/>
    </w:pPr>
  </w:style>
  <w:style w:type="paragraph" w:styleId="TOCNaslov">
    <w:name w:val="TOC Heading"/>
    <w:basedOn w:val="Naslov1"/>
    <w:next w:val="Normal"/>
    <w:uiPriority w:val="39"/>
    <w:unhideWhenUsed/>
    <w:qFormat/>
    <w:rsid w:val="00A270E9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adraj1">
    <w:name w:val="toc 1"/>
    <w:basedOn w:val="Normal"/>
    <w:next w:val="Normal"/>
    <w:autoRedefine/>
    <w:uiPriority w:val="39"/>
    <w:qFormat/>
    <w:rsid w:val="00A270E9"/>
    <w:pPr>
      <w:tabs>
        <w:tab w:val="right" w:leader="dot" w:pos="9628"/>
      </w:tabs>
    </w:pPr>
    <w:rPr>
      <w:u w:val="single"/>
    </w:rPr>
  </w:style>
  <w:style w:type="paragraph" w:styleId="Sadraj2">
    <w:name w:val="toc 2"/>
    <w:basedOn w:val="Normal"/>
    <w:next w:val="Normal"/>
    <w:autoRedefine/>
    <w:uiPriority w:val="39"/>
    <w:qFormat/>
    <w:rsid w:val="00A270E9"/>
    <w:pPr>
      <w:tabs>
        <w:tab w:val="right" w:leader="dot" w:pos="9628"/>
      </w:tabs>
      <w:ind w:left="240"/>
    </w:pPr>
    <w:rPr>
      <w:rFonts w:ascii="Arial" w:hAnsi="Arial" w:cs="Arial"/>
      <w:bCs/>
      <w:noProof/>
      <w:sz w:val="22"/>
      <w:szCs w:val="22"/>
      <w:lang w:val="en-AU" w:eastAsia="x-none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A270E9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odnaslov">
    <w:name w:val="Subtitle"/>
    <w:basedOn w:val="Normal"/>
    <w:next w:val="Normal"/>
    <w:link w:val="PodnaslovChar"/>
    <w:qFormat/>
    <w:rsid w:val="00A270E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Char">
    <w:name w:val="Podnaslov Char"/>
    <w:basedOn w:val="Zadanifontodlomka"/>
    <w:link w:val="Podnaslov"/>
    <w:rsid w:val="00A270E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Naglaeno">
    <w:name w:val="Strong"/>
    <w:uiPriority w:val="22"/>
    <w:qFormat/>
    <w:rsid w:val="00A270E9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A270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270E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t-9-8">
    <w:name w:val="t-9-8"/>
    <w:basedOn w:val="Normal"/>
    <w:rsid w:val="00A270E9"/>
    <w:pPr>
      <w:spacing w:before="100" w:beforeAutospacing="1" w:after="100" w:afterAutospacing="1"/>
    </w:pPr>
  </w:style>
  <w:style w:type="paragraph" w:customStyle="1" w:styleId="NoSpacing2">
    <w:name w:val="No Spacing2"/>
    <w:uiPriority w:val="1"/>
    <w:qFormat/>
    <w:rsid w:val="00A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A270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A27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kstfusnote">
    <w:name w:val="footnote text"/>
    <w:basedOn w:val="Normal"/>
    <w:link w:val="TekstfusnoteChar"/>
    <w:uiPriority w:val="99"/>
    <w:rsid w:val="00A270E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70E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Spacing1">
    <w:name w:val="No Spacing1"/>
    <w:uiPriority w:val="1"/>
    <w:qFormat/>
    <w:rsid w:val="00A270E9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rsid w:val="00A270E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270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270E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270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270E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Jakoisticanje">
    <w:name w:val="Intense Emphasis"/>
    <w:uiPriority w:val="21"/>
    <w:qFormat/>
    <w:rsid w:val="00A270E9"/>
    <w:rPr>
      <w:i/>
      <w:iCs/>
      <w:color w:val="5B9BD5"/>
    </w:rPr>
  </w:style>
  <w:style w:type="character" w:customStyle="1" w:styleId="Nerijeenospominjanje">
    <w:name w:val="Neriješeno spominjanje"/>
    <w:uiPriority w:val="99"/>
    <w:semiHidden/>
    <w:unhideWhenUsed/>
    <w:rsid w:val="00A270E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A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nkom@plinkom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inkom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linkom@plin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inkom@plinkom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inkom.hr" TargetMode="External"/><Relationship Id="rId2" Type="http://schemas.openxmlformats.org/officeDocument/2006/relationships/hyperlink" Target="mailto:plinkom@plinkom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Klasić | Komunalac d.o.o.</dc:creator>
  <cp:keywords/>
  <dc:description/>
  <cp:lastModifiedBy>Dražen</cp:lastModifiedBy>
  <cp:revision>35</cp:revision>
  <dcterms:created xsi:type="dcterms:W3CDTF">2022-06-21T08:48:00Z</dcterms:created>
  <dcterms:modified xsi:type="dcterms:W3CDTF">2022-07-04T07:46:00Z</dcterms:modified>
</cp:coreProperties>
</file>